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77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222" w:lineRule="exact"/>
        <w:rPr>
          <w:sz w:val="24"/>
          <w:szCs w:val="24"/>
          <w:color w:val="auto"/>
        </w:rPr>
      </w:pPr>
    </w:p>
    <w:p>
      <w:pPr>
        <w:sectPr>
          <w:pgSz w:w="11900" w:h="16854"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EVNIN LUKE</w:t>
              </w:r>
            </w:hyperlink>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Werewolf 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HOWL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60" w:type="dxa"/>
            <w:vAlign w:val="bottom"/>
            <w:gridSpan w:val="3"/>
            <w:vMerge w:val="continue"/>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20" w:type="dxa"/>
            <w:vAlign w:val="bottom"/>
            <w:tcBorders>
              <w:bottom w:val="single" w:sz="8" w:color="0000EE"/>
            </w:tcBorders>
          </w:tcPr>
          <w:p>
            <w:pPr>
              <w:spacing w:after="0"/>
              <w:rPr>
                <w:sz w:val="6"/>
                <w:szCs w:val="6"/>
                <w:color w:val="auto"/>
              </w:rPr>
            </w:pPr>
          </w:p>
        </w:tc>
        <w:tc>
          <w:tcPr>
            <w:tcW w:w="1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9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80" w:type="dxa"/>
            <w:vAlign w:val="bottom"/>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25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05/27/2026</w:t>
            </w:r>
          </w:p>
        </w:tc>
        <w:tc>
          <w:tcPr>
            <w:tcW w:w="13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MPM BIOIMPACT LLC</w:t>
            </w:r>
          </w:p>
        </w:tc>
        <w:tc>
          <w:tcPr>
            <w:tcW w:w="1380" w:type="dxa"/>
            <w:vAlign w:val="bottom"/>
          </w:tcPr>
          <w:p>
            <w:pPr>
              <w:spacing w:after="0"/>
              <w:rPr>
                <w:sz w:val="11"/>
                <w:szCs w:val="11"/>
                <w:color w:val="auto"/>
              </w:rPr>
            </w:pPr>
          </w:p>
        </w:tc>
        <w:tc>
          <w:tcPr>
            <w:tcW w:w="2580" w:type="dxa"/>
            <w:vAlign w:val="bottom"/>
            <w:gridSpan w:val="3"/>
            <w:vMerge w:val="continue"/>
          </w:tcPr>
          <w:p>
            <w:pPr>
              <w:spacing w:after="0"/>
              <w:rPr>
                <w:sz w:val="11"/>
                <w:szCs w:val="11"/>
                <w:color w:val="auto"/>
              </w:rPr>
            </w:pPr>
          </w:p>
        </w:tc>
        <w:tc>
          <w:tcPr>
            <w:tcW w:w="13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399 BOYLSTON STREET, SUITE 1100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20" w:type="dxa"/>
            <w:vAlign w:val="bottom"/>
            <w:tcBorders>
              <w:bottom w:val="single" w:sz="8" w:color="2C2C2C"/>
            </w:tcBorders>
          </w:tcPr>
          <w:p>
            <w:pPr>
              <w:spacing w:after="0"/>
              <w:rPr>
                <w:sz w:val="12"/>
                <w:szCs w:val="12"/>
                <w:color w:val="auto"/>
              </w:rPr>
            </w:pPr>
          </w:p>
        </w:tc>
        <w:tc>
          <w:tcPr>
            <w:tcW w:w="13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54"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54"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1200" w:type="dxa"/>
            <w:vAlign w:val="bottom"/>
            <w:gridSpan w:val="2"/>
          </w:tcPr>
          <w:p>
            <w:pPr>
              <w:ind w:left="340"/>
              <w:spacing w:after="0"/>
              <w:rPr>
                <w:sz w:val="20"/>
                <w:szCs w:val="20"/>
                <w:color w:val="auto"/>
              </w:rPr>
            </w:pPr>
            <w:r>
              <w:rPr>
                <w:rFonts w:ascii="Arial" w:cs="Arial" w:eastAsia="Arial" w:hAnsi="Arial"/>
                <w:sz w:val="12"/>
                <w:szCs w:val="12"/>
                <w:b w:val="1"/>
                <w:bCs w:val="1"/>
                <w:color w:val="auto"/>
              </w:rPr>
              <w:t>6. Ownership</w:t>
            </w:r>
          </w:p>
        </w:tc>
        <w:tc>
          <w:tcPr>
            <w:tcW w:w="12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20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Form: Direct</w:t>
            </w: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34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4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12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4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1200" w:type="dxa"/>
            <w:vAlign w:val="bottom"/>
            <w:tcBorders>
              <w:top w:val="single" w:sz="8" w:color="2C2C2C"/>
            </w:tcBorders>
            <w:gridSpan w:val="2"/>
            <w:vMerge w:val="restart"/>
          </w:tcPr>
          <w:p>
            <w:pPr>
              <w:ind w:left="8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60" w:type="dxa"/>
            <w:vAlign w:val="bottom"/>
          </w:tcPr>
          <w:p>
            <w:pPr>
              <w:spacing w:after="0"/>
              <w:rPr>
                <w:sz w:val="7"/>
                <w:szCs w:val="7"/>
                <w:color w:val="auto"/>
              </w:rPr>
            </w:pPr>
          </w:p>
        </w:tc>
        <w:tc>
          <w:tcPr>
            <w:tcW w:w="780" w:type="dxa"/>
            <w:vAlign w:val="bottom"/>
          </w:tcPr>
          <w:p>
            <w:pPr>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99"/>
              </w:rPr>
              <w:t>V</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2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740" w:type="dxa"/>
            <w:vAlign w:val="bottom"/>
            <w:gridSpan w:val="2"/>
          </w:tcPr>
          <w:p>
            <w:pPr>
              <w:spacing w:after="0"/>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740" w:type="dxa"/>
            <w:vAlign w:val="bottom"/>
            <w:tcBorders>
              <w:bottom w:val="single" w:sz="8" w:color="2C2C2C"/>
            </w:tcBorders>
            <w:gridSpan w:val="2"/>
          </w:tcPr>
          <w:p>
            <w:pPr>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05/27/2026</w:t>
            </w: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Pr>
          <w:p>
            <w:pPr>
              <w:spacing w:after="0"/>
              <w:rPr>
                <w:sz w:val="21"/>
                <w:szCs w:val="21"/>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80,852</w:t>
            </w:r>
            <w:r>
              <w:rPr>
                <w:rFonts w:ascii="Times New Roman" w:cs="Times New Roman" w:eastAsia="Times New Roman" w:hAnsi="Times New Roman"/>
                <w:sz w:val="22"/>
                <w:szCs w:val="22"/>
                <w:color w:val="008000"/>
                <w:vertAlign w:val="superscript"/>
              </w:rPr>
              <w:t>(2)</w:t>
            </w: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vMerge w:val="restart"/>
          </w:tcPr>
          <w:p>
            <w:pPr>
              <w:jc w:val="center"/>
              <w:ind w:left="75"/>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0.48</w:t>
            </w:r>
            <w:r>
              <w:rPr>
                <w:rFonts w:ascii="Times New Roman" w:cs="Times New Roman" w:eastAsia="Times New Roman" w:hAnsi="Times New Roman"/>
                <w:sz w:val="22"/>
                <w:szCs w:val="22"/>
                <w:color w:val="008000"/>
                <w:w w:val="92"/>
                <w:vertAlign w:val="superscript"/>
              </w:rPr>
              <w:t>(3)</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682,833</w:t>
            </w:r>
          </w:p>
        </w:tc>
        <w:tc>
          <w:tcPr>
            <w:tcW w:w="960" w:type="dxa"/>
            <w:vAlign w:val="bottom"/>
            <w:vMerge w:val="restart"/>
          </w:tcPr>
          <w:p>
            <w:pPr>
              <w:ind w:left="70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(4)(5)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vMerge w:val="restart"/>
          </w:tcPr>
          <w:p>
            <w:pPr>
              <w:ind w:left="260"/>
              <w:spacing w:after="0"/>
              <w:rPr>
                <w:sz w:val="20"/>
                <w:szCs w:val="20"/>
                <w:color w:val="auto"/>
              </w:rPr>
            </w:pPr>
            <w:r>
              <w:rPr>
                <w:rFonts w:ascii="Times New Roman" w:cs="Times New Roman" w:eastAsia="Times New Roman" w:hAnsi="Times New Roman"/>
                <w:sz w:val="17"/>
                <w:szCs w:val="17"/>
                <w:color w:val="0000FF"/>
              </w:rPr>
              <w:t>05/28/2026</w:t>
            </w:r>
          </w:p>
        </w:tc>
        <w:tc>
          <w:tcPr>
            <w:tcW w:w="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ind w:left="100"/>
              <w:spacing w:after="0"/>
              <w:rPr>
                <w:sz w:val="20"/>
                <w:szCs w:val="20"/>
                <w:color w:val="auto"/>
              </w:rPr>
            </w:pPr>
            <w:r>
              <w:rPr>
                <w:rFonts w:ascii="Times New Roman" w:cs="Times New Roman" w:eastAsia="Times New Roman" w:hAnsi="Times New Roman"/>
                <w:sz w:val="17"/>
                <w:szCs w:val="17"/>
                <w:color w:val="0000FF"/>
              </w:rPr>
              <w:t>27,698</w:t>
            </w:r>
            <w:r>
              <w:rPr>
                <w:rFonts w:ascii="Times New Roman" w:cs="Times New Roman" w:eastAsia="Times New Roman" w:hAnsi="Times New Roman"/>
                <w:sz w:val="22"/>
                <w:szCs w:val="22"/>
                <w:color w:val="008000"/>
                <w:vertAlign w:val="superscript"/>
              </w:rPr>
              <w:t>(6)</w:t>
            </w:r>
          </w:p>
        </w:tc>
        <w:tc>
          <w:tcPr>
            <w:tcW w:w="34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top w:val="single" w:sz="8" w:color="2C2C2C"/>
            </w:tcBorders>
            <w:vMerge w:val="restart"/>
          </w:tcPr>
          <w:p>
            <w:pPr>
              <w:jc w:val="center"/>
              <w:ind w:left="75"/>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0.46</w:t>
            </w:r>
            <w:r>
              <w:rPr>
                <w:rFonts w:ascii="Times New Roman" w:cs="Times New Roman" w:eastAsia="Times New Roman" w:hAnsi="Times New Roman"/>
                <w:sz w:val="22"/>
                <w:szCs w:val="22"/>
                <w:color w:val="008000"/>
                <w:w w:val="92"/>
                <w:vertAlign w:val="superscript"/>
              </w:rPr>
              <w:t>(7)</w:t>
            </w:r>
          </w:p>
        </w:tc>
        <w:tc>
          <w:tcPr>
            <w:tcW w:w="840" w:type="dxa"/>
            <w:vAlign w:val="bottom"/>
            <w:tcBorders>
              <w:top w:val="single" w:sz="8" w:color="2C2C2C"/>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655,135</w:t>
            </w:r>
          </w:p>
        </w:tc>
        <w:tc>
          <w:tcPr>
            <w:tcW w:w="960" w:type="dxa"/>
            <w:vAlign w:val="bottom"/>
            <w:tcBorders>
              <w:top w:val="single" w:sz="8" w:color="2C2C2C"/>
            </w:tcBorders>
            <w:vMerge w:val="restart"/>
          </w:tcPr>
          <w:p>
            <w:pPr>
              <w:ind w:left="70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(4)(8)</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vMerge w:val="restart"/>
          </w:tcPr>
          <w:p>
            <w:pPr>
              <w:ind w:left="260"/>
              <w:spacing w:after="0"/>
              <w:rPr>
                <w:sz w:val="20"/>
                <w:szCs w:val="20"/>
                <w:color w:val="auto"/>
              </w:rPr>
            </w:pPr>
            <w:r>
              <w:rPr>
                <w:rFonts w:ascii="Times New Roman" w:cs="Times New Roman" w:eastAsia="Times New Roman" w:hAnsi="Times New Roman"/>
                <w:sz w:val="17"/>
                <w:szCs w:val="17"/>
                <w:color w:val="0000FF"/>
              </w:rPr>
              <w:t>05/29/2026</w:t>
            </w:r>
          </w:p>
        </w:tc>
        <w:tc>
          <w:tcPr>
            <w:tcW w:w="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ind w:left="100"/>
              <w:spacing w:after="0"/>
              <w:rPr>
                <w:sz w:val="20"/>
                <w:szCs w:val="20"/>
                <w:color w:val="auto"/>
              </w:rPr>
            </w:pPr>
            <w:r>
              <w:rPr>
                <w:rFonts w:ascii="Times New Roman" w:cs="Times New Roman" w:eastAsia="Times New Roman" w:hAnsi="Times New Roman"/>
                <w:sz w:val="17"/>
                <w:szCs w:val="17"/>
                <w:color w:val="0000FF"/>
              </w:rPr>
              <w:t>32,556</w:t>
            </w:r>
            <w:r>
              <w:rPr>
                <w:rFonts w:ascii="Times New Roman" w:cs="Times New Roman" w:eastAsia="Times New Roman" w:hAnsi="Times New Roman"/>
                <w:sz w:val="22"/>
                <w:szCs w:val="22"/>
                <w:color w:val="008000"/>
                <w:vertAlign w:val="superscript"/>
              </w:rPr>
              <w:t>(9)</w:t>
            </w:r>
          </w:p>
        </w:tc>
        <w:tc>
          <w:tcPr>
            <w:tcW w:w="34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top w:val="single" w:sz="8" w:color="2C2C2C"/>
            </w:tcBorders>
            <w:vMerge w:val="restart"/>
          </w:tcPr>
          <w:p>
            <w:pPr>
              <w:jc w:val="center"/>
              <w:ind w:left="95"/>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0.45</w:t>
            </w:r>
            <w:r>
              <w:rPr>
                <w:rFonts w:ascii="Times New Roman" w:cs="Times New Roman" w:eastAsia="Times New Roman" w:hAnsi="Times New Roman"/>
                <w:sz w:val="22"/>
                <w:szCs w:val="22"/>
                <w:color w:val="008000"/>
                <w:w w:val="91"/>
                <w:vertAlign w:val="superscript"/>
              </w:rPr>
              <w:t>(10)</w:t>
            </w:r>
          </w:p>
        </w:tc>
        <w:tc>
          <w:tcPr>
            <w:tcW w:w="840" w:type="dxa"/>
            <w:vAlign w:val="bottom"/>
            <w:tcBorders>
              <w:top w:val="single" w:sz="8" w:color="2C2C2C"/>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622,579</w:t>
            </w:r>
          </w:p>
        </w:tc>
        <w:tc>
          <w:tcPr>
            <w:tcW w:w="960" w:type="dxa"/>
            <w:vAlign w:val="bottom"/>
            <w:tcBorders>
              <w:top w:val="single" w:sz="8" w:color="2C2C2C"/>
            </w:tcBorders>
            <w:vMerge w:val="restart"/>
          </w:tcPr>
          <w:p>
            <w:pPr>
              <w:ind w:left="70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(4)(11)</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60" w:type="dxa"/>
            <w:vAlign w:val="bottom"/>
            <w:gridSpan w:val="14"/>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980" w:type="dxa"/>
            <w:vAlign w:val="bottom"/>
            <w:gridSpan w:val="12"/>
          </w:tcPr>
          <w:p>
            <w:pPr>
              <w:jc w:val="center"/>
              <w:ind w:right="14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52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86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86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ind w:left="40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ind w:left="40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Expiration</w:t>
            </w:r>
          </w:p>
        </w:tc>
        <w:tc>
          <w:tcPr>
            <w:tcW w:w="86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effected pursuant to a plan established pursuant to Rule 10b5-1 dated March 26, 2026.</w:t>
      </w:r>
    </w:p>
    <w:p>
      <w:pPr>
        <w:spacing w:after="0" w:line="50" w:lineRule="exact"/>
        <w:rPr>
          <w:rFonts w:ascii="Times New Roman" w:cs="Times New Roman" w:eastAsia="Times New Roman" w:hAnsi="Times New Roman"/>
          <w:sz w:val="13"/>
          <w:szCs w:val="13"/>
          <w:color w:val="008000"/>
        </w:rPr>
      </w:pPr>
    </w:p>
    <w:p>
      <w:pPr>
        <w:ind w:left="40" w:right="6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as follows: 8,663 by MPM Asset Management LLC ("AM LLC"), 54,692 by MPM BioVentures 2014, L.P. ("BV 2014"), 3,648 by MPM BIoVentures 2014(B), L.P. ("BV 2014(B)"), 1,883 by MPM Asset Management Investors BV2014 LLC ("AM BV2014") and 11,966 by MPM Oncology Innovations Fund, L.P. ("MPM OIF").</w:t>
      </w:r>
    </w:p>
    <w:p>
      <w:pPr>
        <w:spacing w:after="0" w:line="7"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$0.46 to $0.49705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MPM BioVentures 2014 GP LLC and MPM BioVentures 2014 LLC ("BV LLC") are the direct and indirect general partners of BV 2014 and BV 2014(B). BV LLC is the manager of AM BV2014. MPM Oncology Innovations Fund GP LLC ("MPM OIF GP") is the general partner of MPM OIF. Luke Evnin is a member of AM LLC, a Managing Director of BV LLC and a manager of MPM OIF GP. The Reporting Person disclaims beneficial ownership of the securities except to the extent of his pecuniary interest therein.</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as follows: 73,157 by AM LLC, 461,914 by BV 2014, 30,807 by BV 2014(B), 15,896 by AM BV2014 and 101,059 by MPM OIF.</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as follows: 2,968 by AM LLC, 18,736 by BV 2014, 1,250 by BV 2014(B), 645 by AM BV2014 and 4,099 by MPM OIF.</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$0.455 to $0.4858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as follows: 70,189 by AM LLC, 443,178 by BV 2014, 29,557 by BV 2014(B), 15,251 by AM BV2014 and 96,960 by MPM OIF.</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as follows: 3,488 by AM LLC, 22,023 by BV 2014, 1,469 by BV 2014(B), 758 by AM BV2014 and 4,818 by MPM OIF.</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$0.44 to $0.4557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as follows: 66,701 by AM LLC, 421,155 by BV 2014, 28,088 by BV 2014(B), 14,493 by AM BV2014 and 92,142 by MPM OIF.</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Luke Evnin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05/29/2026</w:t>
            </w:r>
          </w:p>
        </w:tc>
      </w:tr>
      <w:tr>
        <w:trPr>
          <w:trHeight w:val="20"/>
        </w:trPr>
        <w:tc>
          <w:tcPr>
            <w:tcW w:w="10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54" w:orient="portrait"/>
          <w:cols w:equalWidth="0" w:num="1">
            <w:col w:w="11080"/>
          </w:cols>
          <w:pgMar w:left="460" w:top="219" w:right="359" w:bottom="0" w:gutter="0" w:footer="0" w:header="0"/>
          <w:type w:val="continuous"/>
        </w:sectPr>
      </w:pPr>
    </w:p>
    <w:bookmarkStart w:id="1" w:name="page2"/>
    <w:bookmarkEnd w:id="1"/>
    <w:p>
      <w:pPr>
        <w:jc w:val="both"/>
        <w:ind w:right="2480" w:firstLine="7"/>
        <w:spacing w:after="0" w:line="321"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34657" TargetMode="External"/><Relationship Id="rId14" Type="http://schemas.openxmlformats.org/officeDocument/2006/relationships/hyperlink" Target="http://www.sec.gov/cgi-bin/browse-edgar?action=getcompany&amp;CIK=00017855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2026-05-29T18:54:53Z</dcterms:created>
  <dcterms:modified xsi:type="dcterms:W3CDTF">2026-05-29T18:54:53Z</dcterms:modified>
</cp:coreProperties>
</file>