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EVNIN LUKE</w:t>
              </w:r>
            </w:hyperlink>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Werewolf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HOWL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60" w:type="dxa"/>
            <w:vAlign w:val="bottom"/>
            <w:gridSpan w:val="3"/>
            <w:vMerge w:val="continue"/>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Borders>
              <w:bottom w:val="single" w:sz="8" w:color="0000EE"/>
            </w:tcBorders>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9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80" w:type="dxa"/>
            <w:vAlign w:val="bottom"/>
            <w:vMerge w:val="restart"/>
          </w:tcPr>
          <w:p>
            <w:pPr>
              <w:ind w:left="1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25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06/04/2026</w:t>
            </w:r>
          </w:p>
        </w:tc>
        <w:tc>
          <w:tcPr>
            <w:tcW w:w="13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MPM BIOIMPACT LLC</w:t>
            </w:r>
          </w:p>
        </w:tc>
        <w:tc>
          <w:tcPr>
            <w:tcW w:w="1380" w:type="dxa"/>
            <w:vAlign w:val="bottom"/>
          </w:tcPr>
          <w:p>
            <w:pPr>
              <w:spacing w:after="0"/>
              <w:rPr>
                <w:sz w:val="11"/>
                <w:szCs w:val="11"/>
                <w:color w:val="auto"/>
              </w:rPr>
            </w:pPr>
          </w:p>
        </w:tc>
        <w:tc>
          <w:tcPr>
            <w:tcW w:w="2580" w:type="dxa"/>
            <w:vAlign w:val="bottom"/>
            <w:gridSpan w:val="3"/>
            <w:vMerge w:val="continue"/>
          </w:tcPr>
          <w:p>
            <w:pPr>
              <w:spacing w:after="0"/>
              <w:rPr>
                <w:sz w:val="11"/>
                <w:szCs w:val="11"/>
                <w:color w:val="auto"/>
              </w:rPr>
            </w:pPr>
          </w:p>
        </w:tc>
        <w:tc>
          <w:tcPr>
            <w:tcW w:w="13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399 BOYLSTON STREET, SUITE 1100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2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54"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54"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2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3"/>
                <w:szCs w:val="13"/>
                <w:color w:val="auto"/>
              </w:rPr>
            </w:pP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2"/>
          </w:tcPr>
          <w:p>
            <w:pPr>
              <w:ind w:left="3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12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vMerge w:val="continue"/>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3"/>
                <w:szCs w:val="13"/>
                <w:color w:val="auto"/>
              </w:rPr>
            </w:pPr>
          </w:p>
        </w:tc>
        <w:tc>
          <w:tcPr>
            <w:tcW w:w="1740" w:type="dxa"/>
            <w:vAlign w:val="bottom"/>
            <w:gridSpan w:val="2"/>
          </w:tcPr>
          <w:p>
            <w:pPr>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740" w:type="dxa"/>
            <w:vAlign w:val="bottom"/>
            <w:tcBorders>
              <w:bottom w:val="single" w:sz="8" w:color="2C2C2C"/>
            </w:tcBorders>
            <w:gridSpan w:val="2"/>
          </w:tcPr>
          <w:p>
            <w:pPr>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06/04/2026</w:t>
            </w: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20,072</w:t>
            </w:r>
            <w:r>
              <w:rPr>
                <w:rFonts w:ascii="Times New Roman" w:cs="Times New Roman" w:eastAsia="Times New Roman" w:hAnsi="Times New Roman"/>
                <w:sz w:val="22"/>
                <w:szCs w:val="22"/>
                <w:color w:val="008000"/>
                <w:vertAlign w:val="superscript"/>
              </w:rPr>
              <w:t>(2)</w:t>
            </w:r>
          </w:p>
        </w:tc>
        <w:tc>
          <w:tcPr>
            <w:tcW w:w="18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0.44</w:t>
            </w:r>
            <w:r>
              <w:rPr>
                <w:rFonts w:ascii="Times New Roman" w:cs="Times New Roman" w:eastAsia="Times New Roman" w:hAnsi="Times New Roman"/>
                <w:sz w:val="22"/>
                <w:szCs w:val="22"/>
                <w:color w:val="008000"/>
                <w:w w:val="95"/>
                <w:vertAlign w:val="superscript"/>
              </w:rPr>
              <w:t>(3)</w:t>
            </w: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462,704</w:t>
            </w:r>
          </w:p>
        </w:tc>
        <w:tc>
          <w:tcPr>
            <w:tcW w:w="96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320"/>
              <w:spacing w:after="0"/>
              <w:rPr>
                <w:sz w:val="20"/>
                <w:szCs w:val="20"/>
                <w:color w:val="auto"/>
              </w:rPr>
            </w:pPr>
            <w:r>
              <w:rPr>
                <w:rFonts w:ascii="Times New Roman" w:cs="Times New Roman" w:eastAsia="Times New Roman" w:hAnsi="Times New Roman"/>
                <w:sz w:val="17"/>
                <w:szCs w:val="17"/>
                <w:color w:val="0000FF"/>
              </w:rPr>
              <w:t>06/05/2026</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24,946</w:t>
            </w:r>
            <w:r>
              <w:rPr>
                <w:rFonts w:ascii="Times New Roman" w:cs="Times New Roman" w:eastAsia="Times New Roman" w:hAnsi="Times New Roman"/>
                <w:sz w:val="22"/>
                <w:szCs w:val="22"/>
                <w:color w:val="008000"/>
                <w:vertAlign w:val="superscript"/>
              </w:rPr>
              <w:t>(6)</w:t>
            </w:r>
          </w:p>
        </w:tc>
        <w:tc>
          <w:tcPr>
            <w:tcW w:w="1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jc w:val="center"/>
              <w:ind w:right="11"/>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0.4</w:t>
            </w:r>
            <w:r>
              <w:rPr>
                <w:rFonts w:ascii="Times New Roman" w:cs="Times New Roman" w:eastAsia="Times New Roman" w:hAnsi="Times New Roman"/>
                <w:sz w:val="22"/>
                <w:szCs w:val="22"/>
                <w:color w:val="008000"/>
                <w:w w:val="91"/>
                <w:vertAlign w:val="superscript"/>
              </w:rPr>
              <w:t>(7)</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437,758</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(4)(8)</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vMerge w:val="restart"/>
          </w:tcPr>
          <w:p>
            <w:pPr>
              <w:ind w:left="320"/>
              <w:spacing w:after="0"/>
              <w:rPr>
                <w:sz w:val="20"/>
                <w:szCs w:val="20"/>
                <w:color w:val="auto"/>
              </w:rPr>
            </w:pPr>
            <w:r>
              <w:rPr>
                <w:rFonts w:ascii="Times New Roman" w:cs="Times New Roman" w:eastAsia="Times New Roman" w:hAnsi="Times New Roman"/>
                <w:sz w:val="17"/>
                <w:szCs w:val="17"/>
                <w:color w:val="0000FF"/>
              </w:rPr>
              <w:t>06/08/2026</w:t>
            </w:r>
          </w:p>
        </w:tc>
        <w:tc>
          <w:tcPr>
            <w:tcW w:w="9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46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60,547</w:t>
            </w:r>
            <w:r>
              <w:rPr>
                <w:rFonts w:ascii="Times New Roman" w:cs="Times New Roman" w:eastAsia="Times New Roman" w:hAnsi="Times New Roman"/>
                <w:sz w:val="22"/>
                <w:szCs w:val="22"/>
                <w:color w:val="008000"/>
                <w:vertAlign w:val="superscript"/>
              </w:rPr>
              <w:t>(9)</w:t>
            </w:r>
          </w:p>
        </w:tc>
        <w:tc>
          <w:tcPr>
            <w:tcW w:w="1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0.4</w:t>
            </w:r>
            <w:r>
              <w:rPr>
                <w:rFonts w:ascii="Times New Roman" w:cs="Times New Roman" w:eastAsia="Times New Roman" w:hAnsi="Times New Roman"/>
                <w:sz w:val="22"/>
                <w:szCs w:val="22"/>
                <w:color w:val="008000"/>
                <w:w w:val="90"/>
                <w:vertAlign w:val="superscript"/>
              </w:rPr>
              <w:t>(10)</w:t>
            </w:r>
          </w:p>
        </w:tc>
        <w:tc>
          <w:tcPr>
            <w:tcW w:w="840" w:type="dxa"/>
            <w:vAlign w:val="bottom"/>
            <w:tcBorders>
              <w:top w:val="single" w:sz="8" w:color="2C2C2C"/>
            </w:tcBorders>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377,211</w:t>
            </w:r>
          </w:p>
        </w:tc>
        <w:tc>
          <w:tcPr>
            <w:tcW w:w="960" w:type="dxa"/>
            <w:vAlign w:val="bottom"/>
            <w:tcBorders>
              <w:top w:val="single" w:sz="8" w:color="2C2C2C"/>
            </w:tcBorders>
            <w:vMerge w:val="restart"/>
          </w:tcPr>
          <w:p>
            <w:pPr>
              <w:ind w:left="70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(4)(11)</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6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2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6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effected pursuant to a plan established pursuant to Rule 10b5-1 dated March 26, 2026.</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2,150 by MPM Asset Management LLC ("AM LLC"), 13,578 by MPM BioVentures 2014, L.P. ("BV 2014"), 906 by MPM BIoVentures 2014(B), L.P. ("BV 2014(B)"),</w:t>
      </w:r>
    </w:p>
    <w:p>
      <w:pPr>
        <w:spacing w:after="0" w:line="11" w:lineRule="exact"/>
        <w:rPr>
          <w:rFonts w:ascii="Times New Roman" w:cs="Times New Roman" w:eastAsia="Times New Roman" w:hAnsi="Times New Roman"/>
          <w:sz w:val="13"/>
          <w:szCs w:val="13"/>
          <w:color w:val="008000"/>
        </w:rPr>
      </w:pPr>
    </w:p>
    <w:p>
      <w:pPr>
        <w:ind w:left="280" w:hanging="233"/>
        <w:spacing w:after="0"/>
        <w:tabs>
          <w:tab w:leader="none" w:pos="2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MPM Asset Management Investors BV2014 LLC ("AM BV2014") and 2,971 by MPM Oncology Innovations Fund, L.P. ("MPM OIF").</w:t>
      </w:r>
    </w:p>
    <w:p>
      <w:pPr>
        <w:spacing w:after="0" w:line="36"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$0.43 to $0.4499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MPM BioVentures 2014 GP LLC and MPM BioVentures 2014 LLC ("BV LLC") are the direct and indirect general partners of BV 2014 and BV 2014(B). BV LLC is the manager of AM BV2014. MPM Oncology Innovations Fund GP LLC ("MPM OIF GP") is the general partner of MPM OIF. Luke Evnin is a member of AM LLC, a Managing Director of BV LLC and a manager of MPM OIF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49,573 by AM LLC, 313,005 by BV 2014, 20,875 by BV 2014(B), 10,771 by AM BV2014 and 68,480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2,673 by AM LLC, 16,874 by BV 2014, 1,126 by BV 2014(B), 581 by AM BV2014 and 3,692 by MPM OIF.</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$0.3918 to $0.454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46,900 by AM LLC, 296,131 by BV 2014, 19,749 by BV 2014(B), 10,190 by AM BV2014 and 64,788 by MPM OIF.</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as follows: 6,487 by AM LLC, 40,957 by BV 2014, 2,732 by BV 2014(B), 1,410 by AM BV2014 and 8,961 by MPM OIF.</w:t>
      </w:r>
    </w:p>
    <w:p>
      <w:pPr>
        <w:spacing w:after="0" w:line="50" w:lineRule="exact"/>
        <w:rPr>
          <w:rFonts w:ascii="Times New Roman" w:cs="Times New Roman" w:eastAsia="Times New Roman" w:hAnsi="Times New Roman"/>
          <w:sz w:val="13"/>
          <w:szCs w:val="13"/>
          <w:color w:val="008000"/>
        </w:rPr>
      </w:pPr>
    </w:p>
    <w:p>
      <w:pPr>
        <w:ind w:left="40" w:right="300" w:firstLine="7"/>
        <w:spacing w:after="0" w:line="253" w:lineRule="auto"/>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$0.3706 to $0.4126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40" w:hanging="193"/>
        <w:spacing w:after="0"/>
        <w:tabs>
          <w:tab w:leader="none" w:pos="2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as follows: 40,413 by AM LLC, 255,174 by BV 2014, 17,017 by BV 2014(B), 8,780 by AM BV2014 and 55,827 by MPM OIF.</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Luke Evnin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06/08/2026</w:t>
            </w:r>
          </w:p>
        </w:tc>
      </w:tr>
      <w:tr>
        <w:trPr>
          <w:trHeight w:val="20"/>
        </w:trPr>
        <w:tc>
          <w:tcPr>
            <w:tcW w:w="10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ectPr>
          <w:pgSz w:w="11900" w:h="16854" w:orient="portrait"/>
          <w:cols w:equalWidth="0" w:num="1">
            <w:col w:w="11080"/>
          </w:cols>
          <w:pgMar w:left="460" w:top="219" w:right="359" w:bottom="0" w:gutter="0" w:footer="0" w:header="0"/>
          <w:type w:val="continuous"/>
        </w:sectPr>
      </w:pPr>
    </w:p>
    <w:bookmarkStart w:id="1" w:name="page2"/>
    <w:bookmarkEnd w:id="1"/>
    <w:p>
      <w:pPr>
        <w:jc w:val="both"/>
        <w:ind w:right="2480" w:firstLine="7"/>
        <w:spacing w:after="0" w:line="321"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67"/>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4657" TargetMode="External"/><Relationship Id="rId14" Type="http://schemas.openxmlformats.org/officeDocument/2006/relationships/hyperlink" Target="http://www.sec.gov/cgi-bin/browse-edgar?action=getcompany&amp;CIK=00017855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2026-06-08T17:15:07Z</dcterms:created>
  <dcterms:modified xsi:type="dcterms:W3CDTF">2026-06-08T17:15:07Z</dcterms:modified>
</cp:coreProperties>
</file>