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May 10, 2022</w:t>
      </w:r>
    </w:p>
    <w:p>
      <w:pPr>
        <w:spacing w:after="0" w:line="6" w:lineRule="exact"/>
        <w:rPr>
          <w:sz w:val="24"/>
          <w:szCs w:val="24"/>
          <w:color w:val="auto"/>
        </w:rPr>
      </w:pPr>
    </w:p>
    <w:p>
      <w:pPr>
        <w:ind w:left="936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30"/>
          <w:szCs w:val="30"/>
          <w:b w:val="1"/>
          <w:bCs w:val="1"/>
          <w:color w:val="auto"/>
        </w:rPr>
        <w:t>UNITED STATES</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30"/>
          <w:szCs w:val="30"/>
          <w:b w:val="1"/>
          <w:bCs w:val="1"/>
          <w:color w:val="auto"/>
        </w:rPr>
        <w:t>FORM S-3</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30"/>
          <w:szCs w:val="30"/>
          <w:b w:val="1"/>
          <w:bCs w:val="1"/>
          <w:color w:val="auto"/>
        </w:rPr>
        <w:t>REGISTRATION STATEMENT</w:t>
      </w: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WEREWOLF THERAPEUTICS, INC.</w:t>
      </w:r>
    </w:p>
    <w:p>
      <w:pPr>
        <w:spacing w:after="0" w:line="32" w:lineRule="exact"/>
        <w:rPr>
          <w:sz w:val="24"/>
          <w:szCs w:val="24"/>
          <w:color w:val="auto"/>
        </w:rPr>
      </w:pPr>
    </w:p>
    <w:tbl>
      <w:tblPr>
        <w:tblLayout w:type="fixed"/>
        <w:tblInd w:w="2020" w:type="dxa"/>
        <w:tblCellMar>
          <w:top w:w="0" w:type="dxa"/>
          <w:left w:w="0" w:type="dxa"/>
          <w:bottom w:w="0" w:type="dxa"/>
          <w:right w:w="0" w:type="dxa"/>
        </w:tblCellMar>
      </w:tblPr>
      <w:tr>
        <w:trPr>
          <w:trHeight w:val="198"/>
        </w:trPr>
        <w:tc>
          <w:tcPr>
            <w:tcW w:w="1840" w:type="dxa"/>
            <w:vAlign w:val="bottom"/>
          </w:tcPr>
          <w:p>
            <w:pPr>
              <w:spacing w:after="0"/>
              <w:rPr>
                <w:sz w:val="17"/>
                <w:szCs w:val="17"/>
                <w:color w:val="auto"/>
              </w:rPr>
            </w:pPr>
          </w:p>
        </w:tc>
        <w:tc>
          <w:tcPr>
            <w:tcW w:w="5260" w:type="dxa"/>
            <w:vAlign w:val="bottom"/>
            <w:gridSpan w:val="3"/>
          </w:tcPr>
          <w:p>
            <w:pPr>
              <w:ind w:left="80"/>
              <w:spacing w:after="0"/>
              <w:rPr>
                <w:sz w:val="20"/>
                <w:szCs w:val="20"/>
                <w:color w:val="auto"/>
              </w:rPr>
            </w:pPr>
            <w:r>
              <w:rPr>
                <w:rFonts w:ascii="Arial" w:cs="Arial" w:eastAsia="Arial" w:hAnsi="Arial"/>
                <w:sz w:val="15"/>
                <w:szCs w:val="15"/>
                <w:b w:val="1"/>
                <w:bCs w:val="1"/>
                <w:color w:val="auto"/>
              </w:rPr>
              <w:t>(Exact name of registrant as specified in its charter)</w:t>
            </w:r>
          </w:p>
        </w:tc>
      </w:tr>
      <w:tr>
        <w:trPr>
          <w:trHeight w:val="154"/>
        </w:trPr>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r>
      <w:tr>
        <w:trPr>
          <w:trHeight w:val="264"/>
        </w:trPr>
        <w:tc>
          <w:tcPr>
            <w:tcW w:w="1840" w:type="dxa"/>
            <w:vAlign w:val="bottom"/>
          </w:tcPr>
          <w:p>
            <w:pPr>
              <w:jc w:val="center"/>
              <w:ind w:right="30"/>
              <w:spacing w:after="0"/>
              <w:rPr>
                <w:sz w:val="20"/>
                <w:szCs w:val="20"/>
                <w:color w:val="auto"/>
              </w:rPr>
            </w:pPr>
            <w:r>
              <w:rPr>
                <w:rFonts w:ascii="Arial" w:cs="Arial" w:eastAsia="Arial" w:hAnsi="Arial"/>
                <w:sz w:val="15"/>
                <w:szCs w:val="15"/>
                <w:b w:val="1"/>
                <w:bCs w:val="1"/>
                <w:color w:val="auto"/>
                <w:w w:val="94"/>
              </w:rPr>
              <w:t>Delaware</w:t>
            </w:r>
          </w:p>
        </w:tc>
        <w:tc>
          <w:tcPr>
            <w:tcW w:w="5260" w:type="dxa"/>
            <w:vAlign w:val="bottom"/>
            <w:gridSpan w:val="3"/>
          </w:tcPr>
          <w:p>
            <w:pPr>
              <w:jc w:val="center"/>
              <w:ind w:left="3844"/>
              <w:spacing w:after="0"/>
              <w:rPr>
                <w:sz w:val="20"/>
                <w:szCs w:val="20"/>
                <w:color w:val="auto"/>
              </w:rPr>
            </w:pPr>
            <w:r>
              <w:rPr>
                <w:rFonts w:ascii="Arial" w:cs="Arial" w:eastAsia="Arial" w:hAnsi="Arial"/>
                <w:sz w:val="15"/>
                <w:szCs w:val="15"/>
                <w:b w:val="1"/>
                <w:bCs w:val="1"/>
                <w:color w:val="auto"/>
                <w:w w:val="92"/>
              </w:rPr>
              <w:t>82-3523180</w:t>
            </w:r>
          </w:p>
        </w:tc>
      </w:tr>
      <w:tr>
        <w:trPr>
          <w:trHeight w:val="148"/>
        </w:trPr>
        <w:tc>
          <w:tcPr>
            <w:tcW w:w="1840" w:type="dxa"/>
            <w:vAlign w:val="bottom"/>
          </w:tcPr>
          <w:p>
            <w:pPr>
              <w:jc w:val="center"/>
              <w:ind w:right="10"/>
              <w:spacing w:after="0"/>
              <w:rPr>
                <w:sz w:val="20"/>
                <w:szCs w:val="20"/>
                <w:color w:val="auto"/>
              </w:rPr>
            </w:pPr>
            <w:r>
              <w:rPr>
                <w:rFonts w:ascii="Arial" w:cs="Arial" w:eastAsia="Arial" w:hAnsi="Arial"/>
                <w:sz w:val="13"/>
                <w:szCs w:val="13"/>
                <w:b w:val="1"/>
                <w:bCs w:val="1"/>
                <w:color w:val="auto"/>
                <w:w w:val="94"/>
              </w:rPr>
              <w:t>(State or other jurisdiction of</w:t>
            </w:r>
          </w:p>
        </w:tc>
        <w:tc>
          <w:tcPr>
            <w:tcW w:w="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40" w:type="dxa"/>
            <w:vAlign w:val="bottom"/>
          </w:tcPr>
          <w:p>
            <w:pPr>
              <w:jc w:val="center"/>
              <w:ind w:left="953"/>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1840" w:type="dxa"/>
            <w:vAlign w:val="bottom"/>
          </w:tcPr>
          <w:p>
            <w:pPr>
              <w:jc w:val="center"/>
              <w:ind w:right="10"/>
              <w:spacing w:after="0"/>
              <w:rPr>
                <w:sz w:val="20"/>
                <w:szCs w:val="20"/>
                <w:color w:val="auto"/>
              </w:rPr>
            </w:pPr>
            <w:r>
              <w:rPr>
                <w:rFonts w:ascii="Arial" w:cs="Arial" w:eastAsia="Arial" w:hAnsi="Arial"/>
                <w:sz w:val="13"/>
                <w:szCs w:val="13"/>
                <w:b w:val="1"/>
                <w:bCs w:val="1"/>
                <w:color w:val="auto"/>
                <w:w w:val="94"/>
              </w:rPr>
              <w:t>incorporation or organization)</w:t>
            </w:r>
          </w:p>
        </w:tc>
        <w:tc>
          <w:tcPr>
            <w:tcW w:w="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40" w:type="dxa"/>
            <w:vAlign w:val="bottom"/>
          </w:tcPr>
          <w:p>
            <w:pPr>
              <w:jc w:val="center"/>
              <w:ind w:left="933"/>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1030 Massachusetts Avenue, Suite 210</w:t>
      </w:r>
    </w:p>
    <w:p>
      <w:pPr>
        <w:jc w:val="center"/>
        <w:ind w:right="-179"/>
        <w:spacing w:after="0" w:line="233" w:lineRule="auto"/>
        <w:rPr>
          <w:sz w:val="20"/>
          <w:szCs w:val="20"/>
          <w:color w:val="auto"/>
        </w:rPr>
      </w:pPr>
      <w:r>
        <w:rPr>
          <w:rFonts w:ascii="Arial" w:cs="Arial" w:eastAsia="Arial" w:hAnsi="Arial"/>
          <w:sz w:val="15"/>
          <w:szCs w:val="15"/>
          <w:b w:val="1"/>
          <w:bCs w:val="1"/>
          <w:color w:val="auto"/>
        </w:rPr>
        <w:t>Cambridge, MA 02138</w:t>
      </w:r>
    </w:p>
    <w:p>
      <w:pPr>
        <w:jc w:val="center"/>
        <w:ind w:right="-179"/>
        <w:spacing w:after="0" w:line="228" w:lineRule="auto"/>
        <w:rPr>
          <w:sz w:val="20"/>
          <w:szCs w:val="20"/>
          <w:color w:val="auto"/>
        </w:rPr>
      </w:pPr>
      <w:r>
        <w:rPr>
          <w:rFonts w:ascii="Arial" w:cs="Arial" w:eastAsia="Arial" w:hAnsi="Arial"/>
          <w:sz w:val="15"/>
          <w:szCs w:val="15"/>
          <w:b w:val="1"/>
          <w:bCs w:val="1"/>
          <w:color w:val="auto"/>
        </w:rPr>
        <w:t>(617) 952-0555</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Daniel J. Hicklin, Ph.D.</w:t>
      </w:r>
    </w:p>
    <w:p>
      <w:pPr>
        <w:jc w:val="center"/>
        <w:ind w:right="-17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79"/>
        <w:spacing w:after="0" w:line="225" w:lineRule="auto"/>
        <w:rPr>
          <w:sz w:val="20"/>
          <w:szCs w:val="20"/>
          <w:color w:val="auto"/>
        </w:rPr>
      </w:pPr>
      <w:r>
        <w:rPr>
          <w:rFonts w:ascii="Arial" w:cs="Arial" w:eastAsia="Arial" w:hAnsi="Arial"/>
          <w:sz w:val="15"/>
          <w:szCs w:val="15"/>
          <w:b w:val="1"/>
          <w:bCs w:val="1"/>
          <w:color w:val="auto"/>
        </w:rPr>
        <w:t>Werewolf Therapeutics, Inc.</w:t>
      </w:r>
    </w:p>
    <w:p>
      <w:pPr>
        <w:jc w:val="center"/>
        <w:ind w:right="-179"/>
        <w:spacing w:after="0" w:line="225" w:lineRule="auto"/>
        <w:rPr>
          <w:sz w:val="20"/>
          <w:szCs w:val="20"/>
          <w:color w:val="auto"/>
        </w:rPr>
      </w:pPr>
      <w:r>
        <w:rPr>
          <w:rFonts w:ascii="Arial" w:cs="Arial" w:eastAsia="Arial" w:hAnsi="Arial"/>
          <w:sz w:val="15"/>
          <w:szCs w:val="15"/>
          <w:b w:val="1"/>
          <w:bCs w:val="1"/>
          <w:color w:val="auto"/>
        </w:rPr>
        <w:t>1030 Massachusetts Avenue</w:t>
      </w:r>
    </w:p>
    <w:p>
      <w:pPr>
        <w:jc w:val="center"/>
        <w:ind w:right="-179"/>
        <w:spacing w:after="0" w:line="226" w:lineRule="auto"/>
        <w:rPr>
          <w:sz w:val="20"/>
          <w:szCs w:val="20"/>
          <w:color w:val="auto"/>
        </w:rPr>
      </w:pPr>
      <w:r>
        <w:rPr>
          <w:rFonts w:ascii="Arial" w:cs="Arial" w:eastAsia="Arial" w:hAnsi="Arial"/>
          <w:sz w:val="15"/>
          <w:szCs w:val="15"/>
          <w:b w:val="1"/>
          <w:bCs w:val="1"/>
          <w:color w:val="auto"/>
        </w:rPr>
        <w:t>Suite 210</w:t>
      </w:r>
    </w:p>
    <w:p>
      <w:pPr>
        <w:jc w:val="center"/>
        <w:ind w:right="-179"/>
        <w:spacing w:after="0" w:line="225" w:lineRule="auto"/>
        <w:rPr>
          <w:sz w:val="20"/>
          <w:szCs w:val="20"/>
          <w:color w:val="auto"/>
        </w:rPr>
      </w:pPr>
      <w:r>
        <w:rPr>
          <w:rFonts w:ascii="Arial" w:cs="Arial" w:eastAsia="Arial" w:hAnsi="Arial"/>
          <w:sz w:val="15"/>
          <w:szCs w:val="15"/>
          <w:b w:val="1"/>
          <w:bCs w:val="1"/>
          <w:color w:val="auto"/>
        </w:rPr>
        <w:t>Cambridge, Massachusetts 02138</w:t>
      </w:r>
    </w:p>
    <w:p>
      <w:pPr>
        <w:jc w:val="center"/>
        <w:ind w:right="-179"/>
        <w:spacing w:after="0" w:line="229" w:lineRule="auto"/>
        <w:rPr>
          <w:sz w:val="20"/>
          <w:szCs w:val="20"/>
          <w:color w:val="auto"/>
        </w:rPr>
      </w:pPr>
      <w:r>
        <w:rPr>
          <w:rFonts w:ascii="Arial" w:cs="Arial" w:eastAsia="Arial" w:hAnsi="Arial"/>
          <w:sz w:val="15"/>
          <w:szCs w:val="15"/>
          <w:b w:val="1"/>
          <w:bCs w:val="1"/>
          <w:color w:val="auto"/>
        </w:rPr>
        <w:t>(617) 952-0555</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Copies to:</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Rosemary G. Reilly, Esq.</w:t>
      </w:r>
    </w:p>
    <w:p>
      <w:pPr>
        <w:jc w:val="center"/>
        <w:ind w:right="-179"/>
        <w:spacing w:after="0" w:line="233" w:lineRule="auto"/>
        <w:rPr>
          <w:sz w:val="20"/>
          <w:szCs w:val="20"/>
          <w:color w:val="auto"/>
        </w:rPr>
      </w:pPr>
      <w:r>
        <w:rPr>
          <w:rFonts w:ascii="Arial" w:cs="Arial" w:eastAsia="Arial" w:hAnsi="Arial"/>
          <w:sz w:val="15"/>
          <w:szCs w:val="15"/>
          <w:b w:val="1"/>
          <w:bCs w:val="1"/>
          <w:color w:val="auto"/>
        </w:rPr>
        <w:t>Stephanie Leopold, Esq.</w:t>
      </w:r>
    </w:p>
    <w:p>
      <w:pPr>
        <w:jc w:val="center"/>
        <w:ind w:right="-179"/>
        <w:spacing w:after="0" w:line="225" w:lineRule="auto"/>
        <w:rPr>
          <w:sz w:val="20"/>
          <w:szCs w:val="20"/>
          <w:color w:val="auto"/>
        </w:rPr>
      </w:pPr>
      <w:r>
        <w:rPr>
          <w:rFonts w:ascii="Arial" w:cs="Arial" w:eastAsia="Arial" w:hAnsi="Arial"/>
          <w:sz w:val="15"/>
          <w:szCs w:val="15"/>
          <w:b w:val="1"/>
          <w:bCs w:val="1"/>
          <w:color w:val="auto"/>
        </w:rPr>
        <w:t>Wilmer Cutler Pickering Hale and Dorr LLP</w:t>
      </w:r>
    </w:p>
    <w:p>
      <w:pPr>
        <w:jc w:val="center"/>
        <w:ind w:right="-179"/>
        <w:spacing w:after="0" w:line="225" w:lineRule="auto"/>
        <w:rPr>
          <w:sz w:val="20"/>
          <w:szCs w:val="20"/>
          <w:color w:val="auto"/>
        </w:rPr>
      </w:pPr>
      <w:r>
        <w:rPr>
          <w:rFonts w:ascii="Arial" w:cs="Arial" w:eastAsia="Arial" w:hAnsi="Arial"/>
          <w:sz w:val="15"/>
          <w:szCs w:val="15"/>
          <w:b w:val="1"/>
          <w:bCs w:val="1"/>
          <w:color w:val="auto"/>
        </w:rPr>
        <w:t>60 State Street</w:t>
      </w:r>
    </w:p>
    <w:p>
      <w:pPr>
        <w:jc w:val="center"/>
        <w:ind w:right="-179"/>
        <w:spacing w:after="0" w:line="226" w:lineRule="auto"/>
        <w:rPr>
          <w:sz w:val="20"/>
          <w:szCs w:val="20"/>
          <w:color w:val="auto"/>
        </w:rPr>
      </w:pPr>
      <w:r>
        <w:rPr>
          <w:rFonts w:ascii="Arial" w:cs="Arial" w:eastAsia="Arial" w:hAnsi="Arial"/>
          <w:sz w:val="15"/>
          <w:szCs w:val="15"/>
          <w:b w:val="1"/>
          <w:bCs w:val="1"/>
          <w:color w:val="auto"/>
        </w:rPr>
        <w:t>Boston, Massachusetts 02109</w:t>
      </w:r>
    </w:p>
    <w:p>
      <w:pPr>
        <w:jc w:val="center"/>
        <w:ind w:right="-179"/>
        <w:spacing w:after="0"/>
        <w:rPr>
          <w:sz w:val="20"/>
          <w:szCs w:val="20"/>
          <w:color w:val="auto"/>
        </w:rPr>
      </w:pPr>
      <w:r>
        <w:rPr>
          <w:rFonts w:ascii="Arial" w:cs="Arial" w:eastAsia="Arial" w:hAnsi="Arial"/>
          <w:sz w:val="15"/>
          <w:szCs w:val="15"/>
          <w:b w:val="1"/>
          <w:bCs w:val="1"/>
          <w:color w:val="auto"/>
        </w:rPr>
        <w:t>Telephone: (617) 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w:t>
      </w:r>
    </w:p>
    <w:p>
      <w:pPr>
        <w:spacing w:after="0" w:line="58"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00" w:lineRule="exact"/>
        <w:rPr>
          <w:sz w:val="24"/>
          <w:szCs w:val="24"/>
          <w:color w:val="auto"/>
        </w:rPr>
      </w:pPr>
    </w:p>
    <w:p>
      <w:pPr>
        <w:jc w:val="both"/>
        <w:ind w:left="120" w:right="200" w:firstLine="44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140" w:firstLine="44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7" w:lineRule="exact"/>
        <w:rPr>
          <w:sz w:val="24"/>
          <w:szCs w:val="24"/>
          <w:color w:val="auto"/>
        </w:rPr>
      </w:pPr>
    </w:p>
    <w:p>
      <w:pPr>
        <w:ind w:left="120" w:right="6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660" w:firstLine="440"/>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6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47" w:lineRule="exact"/>
        <w:rPr>
          <w:sz w:val="24"/>
          <w:szCs w:val="24"/>
          <w:color w:val="auto"/>
        </w:rPr>
      </w:pPr>
    </w:p>
    <w:p>
      <w:pPr>
        <w:ind w:left="120" w:right="160" w:firstLine="440"/>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320" w:type="dxa"/>
            <w:vAlign w:val="bottom"/>
          </w:tcPr>
          <w:p>
            <w:pPr>
              <w:ind w:left="3500"/>
              <w:spacing w:after="0"/>
              <w:rPr>
                <w:sz w:val="20"/>
                <w:szCs w:val="20"/>
                <w:color w:val="auto"/>
              </w:rPr>
            </w:pPr>
            <w:r>
              <w:rPr>
                <w:rFonts w:ascii="Arial" w:cs="Arial" w:eastAsia="Arial" w:hAnsi="Arial"/>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3" w:lineRule="exact"/>
        <w:rPr>
          <w:sz w:val="24"/>
          <w:szCs w:val="24"/>
          <w:color w:val="auto"/>
        </w:rPr>
      </w:pPr>
    </w:p>
    <w:p>
      <w:pPr>
        <w:ind w:left="120" w:right="460" w:firstLine="44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both"/>
        <w:ind w:left="120" w:right="200" w:firstLine="440"/>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4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prospectus covering the offering, issuance and sale by the Registrant of up to $150,000,000 of the Registrant’s debt securities, common stock, preferred stock, depositary shares, subscription rights, units and/or warrants; and</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sales agreement prospectus covering the offering, issuance and sale by the Registrant of up to $50,000,000 of the Registrant’s common stock that may be issued and sold under a sales agreement with SVB Securities LLC (SVB Securities).</w:t>
      </w:r>
    </w:p>
    <w:p>
      <w:pPr>
        <w:spacing w:after="0" w:line="14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common stock that may be offered, issued and sold by the Registrant under the sales agreement prospectus is included in the $150,000,000 of securities that may be offered, issued and sold by the Registrant under the base prospectus.</w:t>
      </w:r>
    </w:p>
    <w:p>
      <w:pPr>
        <w:sectPr>
          <w:pgSz w:w="11900" w:h="16838" w:orient="portrait"/>
          <w:cols w:equalWidth="0" w:num="1">
            <w:col w:w="11040"/>
          </w:cols>
          <w:pgMar w:left="320" w:top="459"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May 10, 2022</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$150,000,000</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171450</wp:posOffset>
            </wp:positionV>
            <wp:extent cx="1594485"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Subscription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may offer and sell securities from time to time in one or more offerings of up to $150,000,000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18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“HOWL.”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60" w:lineRule="auto"/>
        <w:rPr>
          <w:sz w:val="20"/>
          <w:szCs w:val="20"/>
          <w:color w:val="auto"/>
        </w:rPr>
      </w:pPr>
      <w:r>
        <w:rPr>
          <w:rFonts w:ascii="Arial" w:cs="Arial" w:eastAsia="Arial" w:hAnsi="Arial"/>
          <w:sz w:val="21"/>
          <w:szCs w:val="21"/>
          <w:b w:val="1"/>
          <w:bCs w:val="1"/>
          <w:color w:val="auto"/>
        </w:rPr>
        <w:t>Investing in these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205105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ind w:left="4100"/>
        <w:spacing w:after="0"/>
        <w:tabs>
          <w:tab w:leader="none" w:pos="708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3"/>
          <w:szCs w:val="13"/>
          <w:b w:val="1"/>
          <w:bCs w:val="1"/>
          <w:color w:val="auto"/>
        </w:rPr>
        <w:t>.</w:t>
      </w:r>
    </w:p>
    <w:p>
      <w:pPr>
        <w:sectPr>
          <w:pgSz w:w="11900" w:h="16838" w:orient="portrait"/>
          <w:cols w:equalWidth="0" w:num="1">
            <w:col w:w="11120"/>
          </w:cols>
          <w:pgMar w:left="32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0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6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280" w:type="dxa"/>
            <w:vAlign w:val="bottom"/>
            <w:gridSpan w:val="1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ABOUT THIS PROSPECTUS</w:t>
              </w:r>
            </w:hyperlink>
          </w:p>
        </w:tc>
        <w:tc>
          <w:tcPr>
            <w:tcW w:w="66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8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WHERE YOU CAN FIND MORE INFORMATION</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120" w:type="dxa"/>
            <w:vAlign w:val="bottom"/>
          </w:tcPr>
          <w:p>
            <w:pPr>
              <w:spacing w:after="0"/>
              <w:rPr>
                <w:sz w:val="17"/>
                <w:szCs w:val="17"/>
                <w:color w:val="auto"/>
              </w:rPr>
            </w:pPr>
          </w:p>
        </w:tc>
        <w:tc>
          <w:tcPr>
            <w:tcW w:w="40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INCORPORATION BY REFERENCE</w:t>
              </w:r>
            </w:hyperlink>
          </w:p>
        </w:tc>
        <w:tc>
          <w:tcPr>
            <w:tcW w:w="260" w:type="dxa"/>
            <w:vAlign w:val="bottom"/>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80" w:type="dxa"/>
            <w:vAlign w:val="bottom"/>
            <w:gridSpan w:val="1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FORWARD-LOOKING STATEMENTS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RISK FACTORS</w:t>
              </w:r>
            </w:hyperlink>
          </w:p>
        </w:tc>
        <w:tc>
          <w:tcPr>
            <w:tcW w:w="1180" w:type="dxa"/>
            <w:vAlign w:val="bottom"/>
            <w:gridSpan w:val="5"/>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80" w:type="dxa"/>
            <w:vAlign w:val="bottom"/>
            <w:gridSpan w:val="19"/>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WEREWOLF THERAPEUTICS, INC.</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USE OF PROCEEDS</w:t>
              </w:r>
            </w:hyperlink>
          </w:p>
        </w:tc>
        <w:tc>
          <w:tcPr>
            <w:tcW w:w="1260" w:type="dxa"/>
            <w:vAlign w:val="bottom"/>
            <w:gridSpan w:val="7"/>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3">
              <w:r>
                <w:rPr>
                  <w:rFonts w:ascii="Arial" w:cs="Arial" w:eastAsia="Arial" w:hAnsi="Arial"/>
                  <w:sz w:val="18"/>
                  <w:szCs w:val="18"/>
                  <w:b w:val="1"/>
                  <w:bCs w:val="1"/>
                  <w:color w:val="0000EE"/>
                  <w:w w:val="99"/>
                </w:rPr>
                <w:t>DESCRIPTION OF DEBT SECURITIES</w:t>
              </w:r>
            </w:hyperlink>
          </w:p>
        </w:tc>
        <w:tc>
          <w:tcPr>
            <w:tcW w:w="1060" w:type="dxa"/>
            <w:vAlign w:val="bottom"/>
            <w:gridSpan w:val="4"/>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12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DESCRIPTION OF CAPITAL STOCK</w:t>
              </w:r>
            </w:hyperlink>
          </w:p>
        </w:tc>
        <w:tc>
          <w:tcPr>
            <w:tcW w:w="1220" w:type="dxa"/>
            <w:vAlign w:val="bottom"/>
            <w:gridSpan w:val="6"/>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12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8"/>
              </w:rPr>
            </w:pPr>
            <w:hyperlink w:anchor="page31">
              <w:r>
                <w:rPr>
                  <w:rFonts w:ascii="Arial" w:cs="Arial" w:eastAsia="Arial" w:hAnsi="Arial"/>
                  <w:sz w:val="18"/>
                  <w:szCs w:val="18"/>
                  <w:b w:val="1"/>
                  <w:bCs w:val="1"/>
                  <w:color w:val="0000EE"/>
                  <w:w w:val="98"/>
                </w:rPr>
                <w:t>DESCRIPTION OF DEPOSITARY SHARES</w:t>
              </w:r>
            </w:hyperlink>
          </w:p>
        </w:tc>
        <w:tc>
          <w:tcPr>
            <w:tcW w:w="760" w:type="dxa"/>
            <w:vAlign w:val="bottom"/>
            <w:gridSpan w:val="3"/>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196"/>
        </w:trPr>
        <w:tc>
          <w:tcPr>
            <w:tcW w:w="120" w:type="dxa"/>
            <w:vAlign w:val="bottom"/>
          </w:tcPr>
          <w:p>
            <w:pPr>
              <w:spacing w:after="0"/>
              <w:rPr>
                <w:sz w:val="17"/>
                <w:szCs w:val="17"/>
                <w:color w:val="auto"/>
              </w:rPr>
            </w:pPr>
          </w:p>
        </w:tc>
        <w:tc>
          <w:tcPr>
            <w:tcW w:w="4280" w:type="dxa"/>
            <w:vAlign w:val="bottom"/>
            <w:gridSpan w:val="19"/>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DESCRIPTION OF SUBSCRIPTION RIGHTS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196"/>
        </w:trPr>
        <w:tc>
          <w:tcPr>
            <w:tcW w:w="1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DESCRIPTION OF WARRANTS</w:t>
              </w:r>
            </w:hyperlink>
          </w:p>
        </w:tc>
        <w:tc>
          <w:tcPr>
            <w:tcW w:w="1060" w:type="dxa"/>
            <w:vAlign w:val="bottom"/>
            <w:tcBorders>
              <w:top w:val="single" w:sz="8" w:color="0000EE"/>
            </w:tcBorders>
            <w:gridSpan w:val="7"/>
          </w:tcPr>
          <w:p>
            <w:pPr>
              <w:spacing w:after="0"/>
              <w:rPr>
                <w:sz w:val="17"/>
                <w:szCs w:val="17"/>
                <w:color w:val="auto"/>
              </w:rPr>
            </w:pPr>
          </w:p>
        </w:tc>
        <w:tc>
          <w:tcPr>
            <w:tcW w:w="600" w:type="dxa"/>
            <w:vAlign w:val="bottom"/>
            <w:gridSpan w:val="2"/>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DESCRIPTION OF UNITS</w:t>
              </w:r>
            </w:hyperlink>
          </w:p>
        </w:tc>
        <w:tc>
          <w:tcPr>
            <w:tcW w:w="2140" w:type="dxa"/>
            <w:vAlign w:val="bottom"/>
            <w:gridSpan w:val="12"/>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FORMS OF SECURITIES</w:t>
              </w:r>
            </w:hyperlink>
          </w:p>
        </w:tc>
        <w:tc>
          <w:tcPr>
            <w:tcW w:w="2200" w:type="dxa"/>
            <w:vAlign w:val="bottom"/>
            <w:gridSpan w:val="13"/>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PLAN OF DISTRIBUTION</w:t>
              </w:r>
            </w:hyperlink>
          </w:p>
        </w:tc>
        <w:tc>
          <w:tcPr>
            <w:tcW w:w="2120" w:type="dxa"/>
            <w:vAlign w:val="bottom"/>
            <w:gridSpan w:val="11"/>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120" w:type="dxa"/>
            <w:vAlign w:val="bottom"/>
          </w:tcPr>
          <w:p>
            <w:pPr>
              <w:spacing w:after="0"/>
              <w:rPr>
                <w:sz w:val="17"/>
                <w:szCs w:val="17"/>
                <w:color w:val="auto"/>
              </w:rPr>
            </w:pPr>
          </w:p>
        </w:tc>
        <w:tc>
          <w:tcPr>
            <w:tcW w:w="4280" w:type="dxa"/>
            <w:vAlign w:val="bottom"/>
            <w:gridSpan w:val="19"/>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MATTERS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5"/>
              </w:rPr>
            </w:pPr>
            <w:hyperlink w:anchor="page42">
              <w:r>
                <w:rPr>
                  <w:rFonts w:ascii="Arial" w:cs="Arial" w:eastAsia="Arial" w:hAnsi="Arial"/>
                  <w:sz w:val="18"/>
                  <w:szCs w:val="18"/>
                  <w:b w:val="1"/>
                  <w:bCs w:val="1"/>
                  <w:color w:val="0000EE"/>
                  <w:w w:val="95"/>
                </w:rPr>
                <w:t>EXPERTS</w:t>
              </w:r>
            </w:hyperlink>
          </w:p>
        </w:tc>
        <w:tc>
          <w:tcPr>
            <w:tcW w:w="720" w:type="dxa"/>
            <w:vAlign w:val="bottom"/>
            <w:tcBorders>
              <w:top w:val="single" w:sz="8" w:color="0000EE"/>
            </w:tcBorders>
            <w:gridSpan w:val="3"/>
          </w:tcPr>
          <w:p>
            <w:pPr>
              <w:spacing w:after="0"/>
              <w:rPr>
                <w:sz w:val="17"/>
                <w:szCs w:val="17"/>
                <w:color w:val="auto"/>
              </w:rPr>
            </w:pPr>
          </w:p>
        </w:tc>
        <w:tc>
          <w:tcPr>
            <w:tcW w:w="2740" w:type="dxa"/>
            <w:vAlign w:val="bottom"/>
            <w:gridSpan w:val="15"/>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$150,000,000.</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headings “Where You Can Find More Information” and “Incorporation by Reference” beginning on page 2 of this prospectus.</w:t>
      </w:r>
    </w:p>
    <w:p>
      <w:pPr>
        <w:spacing w:after="0" w:line="18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the “Company,” “we,” “our” and “us” refer, collectively, to Werewolf Therapeutics, Inc., a Delaware corporation, and its consolidated subsidiary.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www.werewolftx.com. Our website is not a part of this prospectus and is not incorporated by reference in this prospectus.</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incorporates by reference the documents listed below (File No. 001-40366)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3" w:lineRule="exact"/>
        <w:rPr>
          <w:sz w:val="20"/>
          <w:szCs w:val="20"/>
          <w:color w:val="auto"/>
        </w:rPr>
      </w:pPr>
    </w:p>
    <w:p>
      <w:pPr>
        <w:ind w:left="1080" w:right="10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2021, as filed with the SEC on March 24, 2022, including the information specifically incorporated by reference into the Annual Report on Form 10-K from our </w:t>
      </w:r>
      <w:hyperlink r:id="rId2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2022 Annual Meeting of Stockholders;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Form 10-Q for the fiscal quarter ended March 31, 2022, as filed with the SEC on </w:t>
      </w:r>
      <w:hyperlink r:id="rId29">
        <w:r>
          <w:rPr>
            <w:rFonts w:ascii="Arial" w:cs="Arial" w:eastAsia="Arial" w:hAnsi="Arial"/>
            <w:sz w:val="18"/>
            <w:szCs w:val="18"/>
            <w:u w:val="single" w:color="auto"/>
            <w:color w:val="0000EE"/>
          </w:rPr>
          <w:t>May 10,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Current Reports on Form 8-K as filed with the SEC on </w:t>
      </w:r>
      <w:hyperlink r:id="rId30">
        <w:r>
          <w:rPr>
            <w:rFonts w:ascii="Arial" w:cs="Arial" w:eastAsia="Arial" w:hAnsi="Arial"/>
            <w:sz w:val="18"/>
            <w:szCs w:val="18"/>
            <w:u w:val="single" w:color="auto"/>
            <w:color w:val="0000EE"/>
          </w:rPr>
          <w:t>April 7,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1">
        <w:r>
          <w:rPr>
            <w:rFonts w:ascii="Arial" w:cs="Arial" w:eastAsia="Arial" w:hAnsi="Arial"/>
            <w:sz w:val="18"/>
            <w:szCs w:val="18"/>
            <w:u w:val="single" w:color="auto"/>
            <w:color w:val="0000EE"/>
          </w:rPr>
          <w:t>April 15,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filed with the SEC on April 27, 2021, as the description therein has been updated and superseded by the description of our capital stock contained in </w:t>
      </w:r>
      <w:hyperlink r:id="rId33">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as filed with the SEC on March 24, 2022, and including any amendments and reports filed for the purpose of updating such description.</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You may request a copy of these filings, at no cost, by writing, telephoning or emailing us at the following address or telephone number:</w:t>
      </w:r>
    </w:p>
    <w:p>
      <w:pPr>
        <w:spacing w:after="0" w:line="248"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Werewolf Therapeutics, Inc.</w:t>
      </w:r>
    </w:p>
    <w:p>
      <w:pPr>
        <w:spacing w:after="0" w:line="23"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1030 Massachusetts Avenue</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Suite 210</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Cambridge, Massachusetts 02138</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(617) 952-0555</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IR@werewolftx.com</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320" w:top="459" w:right="1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This prospectus and the information incorporated by reference in this prospectus contain forward-looking statements within the meaning of Section 27A of the Securities Act of 1933, as amended, or the Securities Act, and Section 21E of the Exchange Act that involve substantial risks and uncertainties. All statements, other than statements of historical fact, contained or incorporated by reference in this prospectus, including statements regarding our strategy, future operations, future financial position, future revenue, projected costs, prospects, plans, objectives of management and expected market growth, are forward-looking statements. The words “aim,” “anticipate,” “believe,” “contemplate,” “continue,” “could,” “estimate,” “expect,” “goal,” “intend,” “may,” “might,” “objective,” “ongoing,”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31" w:lineRule="exact"/>
        <w:rPr>
          <w:sz w:val="20"/>
          <w:szCs w:val="20"/>
          <w:color w:val="auto"/>
        </w:rPr>
      </w:pPr>
    </w:p>
    <w:p>
      <w:pPr>
        <w:ind w:left="1080" w:right="3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preclinical studies and planned clinical trials, including the anticipated timing of submission of investigational new drug applications;</w:t>
      </w:r>
    </w:p>
    <w:p>
      <w:pPr>
        <w:spacing w:after="0" w:line="75"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capital requirements, need for additional financing and the period over which we believe our existing cash and cash equivalents will be sufficient to fund our operating expenses and capital expenditure requirements;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and obtain and maintain regulatory approvals for product candidates;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PREDATOR</w:t>
      </w:r>
      <w:r>
        <w:rPr>
          <w:rFonts w:ascii="Arial" w:cs="Arial" w:eastAsia="Arial" w:hAnsi="Arial"/>
          <w:sz w:val="15"/>
          <w:szCs w:val="15"/>
          <w:color w:val="auto"/>
        </w:rPr>
        <w:t>™</w:t>
      </w:r>
      <w:r>
        <w:rPr>
          <w:rFonts w:ascii="Arial" w:cs="Arial" w:eastAsia="Arial" w:hAnsi="Arial"/>
          <w:sz w:val="18"/>
          <w:szCs w:val="18"/>
          <w:color w:val="auto"/>
        </w:rPr>
        <w:t xml:space="preserve"> platform and our ability to use our platform to identify and develop future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opportunities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 and our expectations regarding our ability to obtain and maintain intellectual property protection;</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clinical trials;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expectations disclosed in the forward-looking statements we make. We have included important factors in the cautionary statements included in this prospectus, particularly under the heading “Risk Factors,” under the heading “Summary of Risk Factors” in our Annual Report on Form 10-K for the fiscal year ended December 31, 2021, the risk factors detailed in Item 1A, “Risk Factors” of Part 1 of our Annual Report on Form 10-K and of our most recent Quarterly Report on Form 10-Q and in our SEC reports filed after this prospectus,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make. Our forward-looking statements do not reflect the potential impact of any future acquisitions, mergers, dispositions, collaborations, joint ventures or investments that we may make or enter into.</w:t>
      </w:r>
    </w:p>
    <w:p>
      <w:pPr>
        <w:spacing w:after="0" w:line="18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Investing in our securities involves significant risk. Prior to making a decision about investing in our securities, you should carefully consider the specific factors discussed under the heading “Risk Factors” in the applicable prospectus supplement and in any free-writing prospectus that we authorize for use in connection with an offering, together with all of the other information contained or incorporated by reference in the prospectus supplement or appearing or incorporated by reference in this prospectus, including the risks, uncertainties and assumptions discussed under the heading “Risk Factors” included in our most recent Annual Report on Form 10-K, as revised or supplemented by our most recent Quarterly Report on Form 10-Q or our current reports on Form 8-K that we have filed with the SEC,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WEREWOLF THERAPEUTICS, INC.</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an innovative biopharmaceutical company pioneering the development of therapeutics engineered to stimulate the body’s immune system for the treatment of cancer. We are leveraging our proprietary PREDATOR platform to design conditionally activated molecules that stimulate both adaptive and innate immunity with the goal of addressing the limitations of conventional proinflammatory immune therapies. Our molecules, which we refer to as INDUKINE</w:t>
      </w:r>
      <w:r>
        <w:rPr>
          <w:rFonts w:ascii="Arial" w:cs="Arial" w:eastAsia="Arial" w:hAnsi="Arial"/>
          <w:sz w:val="15"/>
          <w:szCs w:val="15"/>
          <w:color w:val="auto"/>
        </w:rPr>
        <w:t>™</w:t>
      </w:r>
      <w:r>
        <w:rPr>
          <w:rFonts w:ascii="Arial" w:cs="Arial" w:eastAsia="Arial" w:hAnsi="Arial"/>
          <w:sz w:val="18"/>
          <w:szCs w:val="18"/>
          <w:color w:val="auto"/>
        </w:rPr>
        <w:t xml:space="preserve"> molecules, are intended to activate selectively in the tumor microenvironment. Our most advanced product candidates, WTX-124 and WTX-330, are systemically delivered, conditionally activated Interleukin-2 and Interleukin-12, respectively, INDUKINE molecules for the treatment of multiple tumor types.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principal executive offices are located at 1030 Massachusetts Avenue, Suite 210, Cambridge, Massachusetts 02138 and our telephone number is (617) 952-0555.</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without limitation, research and development expenditures, clinical trial expenditures, the acquisition or in-licensing of products or product candidates, business or technologies, collaborations,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the net proceeds of any offering.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summarizes the general terms and provisions of the debt securities that Werewolf Therapeutics, Inc. may offer and sell from time to time. We will describe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Werewolf Therapeutics, Inc. excluding, unless the context otherwise requires or as otherwise expressly stated, our subsidiary.</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guarantees such debt securities.</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$2,000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our debt securities, is not a default under the senior indenture.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00"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780" w:firstLine="440"/>
        <w:spacing w:after="0" w:line="342" w:lineRule="auto"/>
        <w:rPr>
          <w:sz w:val="20"/>
          <w:szCs w:val="20"/>
          <w:color w:val="auto"/>
        </w:rPr>
      </w:pPr>
      <w:r>
        <w:rPr>
          <w:rFonts w:ascii="Arial" w:cs="Arial" w:eastAsia="Arial" w:hAnsi="Arial"/>
          <w:sz w:val="16"/>
          <w:szCs w:val="16"/>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will apply to any series of debt securities issued under the indentures.</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No Personal Liability of Incorporators, Stockholders, Officers, or Directors. </w:t>
      </w:r>
      <w:r>
        <w:rPr>
          <w:rFonts w:ascii="Arial" w:cs="Arial" w:eastAsia="Arial" w:hAnsi="Arial"/>
          <w:sz w:val="18"/>
          <w:szCs w:val="18"/>
          <w:color w:val="auto"/>
        </w:rPr>
        <w:t>The senior indenture provides that no recourse shall be had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covenant or agreement of ours in the senior indenture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 of default, the trustee will not be liable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the Delaware General Corporation Law (the “DGCL”). You should read our certificate of incorporation and bylaws, which are filed as exhibits to the registration statement of which this prospectus forms a part, for the provisions that are important to you.</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authorized capital stock consists of 200,000,000 shares of common stock, par value $0.0001 per share, and 5,000,000 shares of preferred stock, par value $0.0001 per share. As of April 29, 2022, 27,654,248 shares of common stock were outstanding and no shares of preferred stock were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common stock are entitled to one vote for each share held on all matters submitted to a vote of stockholders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as may be declared by our board of directors,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preferential dividend or other rights of any outstanding preferred stock.</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In the event of our liquidation, dissolution or winding up, the holders of our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proportionately all assets available for distribution to stockholders after the payment of all debts and other liabilities and subject to any preferential or other rights of any outstanding preferred stock.</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our common stock have no preference, preemptive, subscription, redemption or conversion rights. All outstanding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are fully paid and not liable to further calls or assessment by us. The rights, preferences and privileges of holders of our common stock are subject to, and may be adversely affected by, the rights of the holders of shares of any series of our preferred stock that we may designate and issue in the future.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Computershare Trust Company, N.A. is transfer agent and registrar for the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8"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4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76" w:lineRule="exact"/>
        <w:rPr>
          <w:sz w:val="20"/>
          <w:szCs w:val="20"/>
          <w:color w:val="auto"/>
        </w:rPr>
      </w:pPr>
    </w:p>
    <w:p>
      <w:pPr>
        <w:ind w:left="1080" w:right="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preferred stock of each series will be entitled to receive, when, as and if declared by our board of directors,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4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w:t>
      </w:r>
      <w:r>
        <w:rPr>
          <w:rFonts w:ascii="Arial" w:cs="Arial" w:eastAsia="Arial" w:hAnsi="Arial"/>
          <w:sz w:val="16"/>
          <w:szCs w:val="16"/>
          <w:i w:val="1"/>
          <w:iCs w:val="1"/>
          <w:color w:val="auto"/>
        </w:rPr>
        <w:t xml:space="preserve"> </w:t>
      </w:r>
      <w:r>
        <w:rPr>
          <w:rFonts w:ascii="Arial" w:cs="Arial" w:eastAsia="Arial" w:hAnsi="Arial"/>
          <w:sz w:val="16"/>
          <w:szCs w:val="16"/>
          <w:color w:val="auto"/>
        </w:rPr>
        <w:t>our option, as a whole or in part, in each case upon the terms, at the times and at the redemption prices set forth in such prospectus supplement.</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72" w:lineRule="exact"/>
        <w:rPr>
          <w:sz w:val="20"/>
          <w:szCs w:val="20"/>
          <w:color w:val="auto"/>
        </w:rPr>
      </w:pPr>
    </w:p>
    <w:p>
      <w:pPr>
        <w:ind w:left="1080" w:right="2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1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23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the preferred stock will be set forth in the applicable prospectus supplement.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December 23, 2020, or the investors’ rights agreement, with certain stockholders. These holders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set forth in the investors’ rights agreement, at any time, the holders of at least 35%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then outstanding registrable securities may demand that we register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registrable securities having an aggregate offering price, net of selling expenses, exceeding $5.0 million then outstanding under the Securities Act for purposes of a public offering. We are not obligated to file a registration statement pursuant to this provision on more than two occasions in any 12-month period.</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holders of at least 15% of the registrable securities then outstanding may request that we register their registrable securities on Form S-3 for purposes of a public offering for which the anticipated aggregate public offering price would exceed, net of selling expenses, $1.0 million. We are not obligated to file a registration statement pursuant to this provision on more than three occasions in any 12-month period.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use our commercially reasonable efforts to cause such registration statements to become effective.</w:t>
      </w:r>
    </w:p>
    <w:p>
      <w:pPr>
        <w:spacing w:after="0" w:line="22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i w:val="1"/>
          <w:iCs w:val="1"/>
          <w:color w:val="auto"/>
        </w:rPr>
        <w:t xml:space="preserve">Incidental Registration Rights. </w:t>
      </w:r>
      <w:r>
        <w:rPr>
          <w:rFonts w:ascii="Arial" w:cs="Arial" w:eastAsia="Arial" w:hAnsi="Arial"/>
          <w:sz w:val="18"/>
          <w:szCs w:val="18"/>
          <w:color w:val="auto"/>
        </w:rPr>
        <w:t>If we propose to register for our own account any of our securities under the Securities Act,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w:t>
      </w:r>
    </w:p>
    <w:p>
      <w:pPr>
        <w:spacing w:after="0" w:line="18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In the event that any registration in which the holders of registrable securities participate pursuant to our investors’ rights agreement is an underwritten public offering, we have agreed to enter into an underwriting agreement in usual and customary form.</w:t>
      </w:r>
    </w:p>
    <w:p>
      <w:pPr>
        <w:spacing w:after="0" w:line="14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Pursuant to the investors’ rights agreement, we are required to pay all registration expenses, including all registration, filing,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 fees; printing and accounting fees; reasonable fees and disbursements not to exceed $30,000 with respect to any one registration, of one counsel representing the selling stockholders; but excluding underwriting discounts, selling commissions, and stock transfer taxes applicable to the sale of registrable securities and the fees and expenses of the selling stockholders’ own counsel (other than the counsel selected to represent all selling stockholders).</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law or any rule or regulation promulgated under the Securities Act, the Exchange Act or any state securities law in connection with such registration statement or the qualification or compliance of the offering, and they are obligated to indemnify us for material misstatements or omissions in the registration statement attributable to them.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Our Certificate of Incorporation and Bylaws and DGCL That May Have Anti-Takeover Effects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Certain provisions of our certificate of incorporation and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i w:val="1"/>
          <w:iCs w:val="1"/>
          <w:color w:val="auto"/>
        </w:rPr>
        <w:t>Board of Directors; Removal of Directors</w:t>
      </w:r>
      <w:r>
        <w:rPr>
          <w:rFonts w:ascii="Arial" w:cs="Arial" w:eastAsia="Arial" w:hAnsi="Arial"/>
          <w:sz w:val="18"/>
          <w:szCs w:val="18"/>
          <w:color w:val="auto"/>
        </w:rPr>
        <w:t>. Our certificate of incorporation and our bylaws divide our board of directors into three classes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three-year terms. In addition, our certificate of incorporation and our bylaws provide that directors may be removed only for cause and only by the affirmative vote of the holders of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least two-thirds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Stockholder Action; Special Meeting of Stockholders; Advance Notice Requirements for Stockholder Proposals and Director Nominations</w:t>
      </w:r>
      <w:r>
        <w:rPr>
          <w:rFonts w:ascii="Arial" w:cs="Arial" w:eastAsia="Arial" w:hAnsi="Arial"/>
          <w:sz w:val="17"/>
          <w:szCs w:val="17"/>
          <w:color w:val="auto"/>
        </w:rPr>
        <w:t>. Our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8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Super-Majority Voting</w:t>
      </w:r>
      <w:r>
        <w:rPr>
          <w:rFonts w:ascii="Arial" w:cs="Arial" w:eastAsia="Arial" w:hAnsi="Arial"/>
          <w:sz w:val="16"/>
          <w:szCs w:val="16"/>
          <w:color w:val="auto"/>
        </w:rPr>
        <w:t>. The DGCL provides generally that the affirmative vote of a majority of the shares entitled to vote on any matter is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any annual election of directors. In addition, the affirmative vote of the holders of at least two-thirds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6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Delaware Business Combination Statute</w:t>
      </w:r>
      <w:r>
        <w:rPr>
          <w:rFonts w:ascii="Arial" w:cs="Arial" w:eastAsia="Arial" w:hAnsi="Arial"/>
          <w:sz w:val="17"/>
          <w:szCs w:val="17"/>
          <w:color w:val="auto"/>
        </w:rPr>
        <w:t>. We are subject to Section 203 of the DGCL. Subject to certain exceptions, Section 203 prevents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Stockholder Nomination of Directors. </w:t>
      </w:r>
      <w:r>
        <w:rPr>
          <w:rFonts w:ascii="Arial" w:cs="Arial" w:eastAsia="Arial" w:hAnsi="Arial"/>
          <w:sz w:val="17"/>
          <w:szCs w:val="17"/>
          <w:color w:val="auto"/>
        </w:rPr>
        <w:t>Our bylaws provide that a stockholder must notify us in writing of any stockholder nomination of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meeting and not later than the later of (x) the 90th day prior to the date of such meeting and (y) the tenth day following the day on which notice of the date of such annual meeting is mailed or public disclosure of the date of such annual meeting is first made, whichever first occurs.</w:t>
      </w:r>
    </w:p>
    <w:p>
      <w:pPr>
        <w:spacing w:after="0" w:line="14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Exclusive Forum Selection</w:t>
      </w:r>
      <w:r>
        <w:rPr>
          <w:rFonts w:ascii="Arial" w:cs="Arial" w:eastAsia="Arial" w:hAnsi="Arial"/>
          <w:sz w:val="17"/>
          <w:szCs w:val="17"/>
          <w:color w:val="auto"/>
        </w:rPr>
        <w:t>. Our certificate of incorporation provides that, unless we consent in writing to the selection of an alternative forum, the</w:t>
      </w:r>
      <w:r>
        <w:rPr>
          <w:rFonts w:ascii="Arial" w:cs="Arial" w:eastAsia="Arial" w:hAnsi="Arial"/>
          <w:sz w:val="17"/>
          <w:szCs w:val="17"/>
          <w:i w:val="1"/>
          <w:iCs w:val="1"/>
          <w:color w:val="auto"/>
        </w:rPr>
        <w:t xml:space="preserve"> </w:t>
      </w:r>
      <w:r>
        <w:rPr>
          <w:rFonts w:ascii="Arial" w:cs="Arial" w:eastAsia="Arial" w:hAnsi="Arial"/>
          <w:sz w:val="17"/>
          <w:szCs w:val="17"/>
          <w:color w:val="auto"/>
        </w:rPr>
        <w:t>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choice of forum provision will not apply to actions arising under the Securities Act, the Exchange Act or any other claim for which the federal courts have exclusive jurisdiction. Unless we consent in writing to the selection of an alternative forum, the federal district courts of the United States of America shall, to the fullest extent permitted by law, be the sole and exclusive forum for the resolution of any claims arising under the Securities Act. Although our certificate of incorporation contains the choice of forum provisions described above, it is possible that a court could rule that such a provision is inapplicable for a particular claim or action or that such provision is unenforceable.</w:t>
      </w:r>
    </w:p>
    <w:p>
      <w:pPr>
        <w:spacing w:after="0" w:line="17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As discussed above, our board of directors has the ability to issue preferred stock with voting or other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that could impede the success of any attempt to change control of our company.</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These provisions of the DGCL, our certificate of incorporation and our bylaws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279" w:lineRule="auto"/>
        <w:rPr>
          <w:sz w:val="20"/>
          <w:szCs w:val="20"/>
          <w:color w:val="auto"/>
        </w:rPr>
      </w:pPr>
      <w:r>
        <w:rPr>
          <w:rFonts w:ascii="Arial" w:cs="Arial" w:eastAsia="Arial" w:hAnsi="Arial"/>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w:t>
      </w:r>
    </w:p>
    <w:p>
      <w:pPr>
        <w:spacing w:after="0" w:line="19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17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spacing w:after="0" w:line="9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record date for stockholders entitled to receive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equity securities that may be purchased upon exercise of each right;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 of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during which the rights may be exercised and when they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steps required to exercise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subscription rights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equity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arrangement entered into by us in connection with the offering of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other terms of the subscription rights, including the terms, procedures and limitations relating to the exercise of the subscription rights;</w:t>
      </w:r>
    </w:p>
    <w:p>
      <w:pPr>
        <w:spacing w:after="0" w:line="153"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include “oversubscription rights” so that the holder may purchase more securities if other holders do not purchase their full allotments;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intend to sell the shares of equity securities that are not purchased in the rights offering to an underwriter or other purchaser under a contractual “standby” commitment or other arrangement;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United States federal income tax considerations.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32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89" w:lineRule="exact"/>
        <w:rPr>
          <w:sz w:val="20"/>
          <w:szCs w:val="20"/>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provisions for the issuance, payment, settlement, transfer or exchange of the units or of the debt securities, common stock, preferred stock or warrants constituting the unit;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Each debt security, depositary share, subscription right,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subscription rights,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subscription right,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purchase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subscription rights agreement, unit agreement or warrant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subscription rights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depositary shares, subscription rights,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 commitment fee for the securities they commit to purchase on a standby basis. If we do not enter into a standby underwriting arrangement, we may retain a dealer-manager to manage a subscription rights offering for us.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financial statements of Werewolf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9" w:right="5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1283335</wp:posOffset>
            </wp:positionV>
            <wp:extent cx="1594485" cy="8401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594485" cy="840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$150,000,000</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Debt Securities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Common Stock</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Preferred Stock</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Depositary Shares</w:t>
      </w:r>
    </w:p>
    <w:p>
      <w:pPr>
        <w:spacing w:after="0" w:line="12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Subscription Rights</w:t>
      </w:r>
    </w:p>
    <w:p>
      <w:pPr>
        <w:spacing w:after="0" w:line="152"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1939925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1999615</wp:posOffset>
            </wp:positionV>
            <wp:extent cx="699516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May 10,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171450</wp:posOffset>
            </wp:positionV>
            <wp:extent cx="1594485" cy="840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59448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$50,000,000</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have entered into a sales agreement, or the sales agreement, with SVB Securities LLC, or SVB Securities, relating to the sale of shares of our common stock, par value $0.0001 per share, offered by this prospectus. In accordance with the terms of the sales agreement, under this prospectus, we may offer and sell shares of our common stock having an aggregate offering price of up to $50,000,000 from time to time through SVB Securities, acting as our sales agent.</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“HOWL”. The last reported sale price of our common stock on May 9, 2022 was $5.39 per share.</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Sales of our common stock, if any, under this prospectus will be made in sales deemed to be an “at the market offering” as defined in Rule 415(a)(4) under the Securities Act of 1933, as amended, or the Securities Act. SVB Securities is not required to sell any specific amount of securities but will act as our sales agent using commercially reasonable efforts consistent with its normal trading and sales practices, on mutually agreed terms between the SVB Securities and us. There is no arrangement for funds to be received in any escrow, trust or similar arrangement.</w:t>
      </w:r>
    </w:p>
    <w:p>
      <w:pPr>
        <w:spacing w:after="0" w:line="15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compensation to SVB Securities for sales of common stock sold pursuant to the sales agreement will be an amount equal to 3.0% of the aggregate gross proceeds of any shares of common stock sold under the sales agreement. In connection with the sale of the common stock on our behalf, SVB Securities will be deemed to be an “underwriter” within the meaning of the Securities Act and the compensation of the SVB Securities will be deemed to be underwriting commissions or discounts. We have also agreed to provide indemnification and contribution to SVB Securities with respect to certain liabilities, including liabilities under the Securities Act or the Securities Exchange Act of 1934, as amended, or the Exchange Act. See “Plan of Distribution” beginning on page S-10 for additional information regarding SVB Securities’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6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an investment in our common stock involve significant risks. These risks are described under the caption “</w:t>
      </w:r>
      <w:hyperlink w:anchor="page5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SA-6 of this prospectus and in the documents incorporated by reference into this prospectus.</w:t>
      </w:r>
    </w:p>
    <w:p>
      <w:pPr>
        <w:spacing w:after="0" w:line="18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SVB Securities</w:t>
      </w:r>
    </w:p>
    <w:p>
      <w:pPr>
        <w:spacing w:after="0" w:line="235"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80" w:type="dxa"/>
            <w:vAlign w:val="bottom"/>
            <w:gridSpan w:val="3"/>
          </w:tcPr>
          <w:p>
            <w:pPr>
              <w:jc w:val="right"/>
              <w:ind w:right="45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80" w:type="dxa"/>
            <w:vAlign w:val="bottom"/>
            <w:gridSpan w:val="13"/>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ABOUT THIS PROSPECTUS</w:t>
              </w:r>
            </w:hyperlink>
          </w:p>
        </w:tc>
        <w:tc>
          <w:tcPr>
            <w:tcW w:w="616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180" w:type="dxa"/>
            <w:vAlign w:val="bottom"/>
            <w:gridSpan w:val="13"/>
            <w:vMerge w:val="continue"/>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FORWARD-LOOKING STATEMENTS</w:t>
              </w:r>
            </w:hyperlink>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PROSPECTUS SUMMARY</w:t>
              </w:r>
            </w:hyperlink>
          </w:p>
        </w:tc>
        <w:tc>
          <w:tcPr>
            <w:tcW w:w="1260" w:type="dxa"/>
            <w:vAlign w:val="bottom"/>
            <w:gridSpan w:val="2"/>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THE OFFERING</w:t>
              </w:r>
            </w:hyperlink>
          </w:p>
        </w:tc>
        <w:tc>
          <w:tcPr>
            <w:tcW w:w="800" w:type="dxa"/>
            <w:vAlign w:val="bottom"/>
            <w:tcBorders>
              <w:top w:val="single" w:sz="8" w:color="0000EE"/>
            </w:tcBorders>
            <w:gridSpan w:val="4"/>
          </w:tcPr>
          <w:p>
            <w:pPr>
              <w:spacing w:after="0"/>
              <w:rPr>
                <w:sz w:val="17"/>
                <w:szCs w:val="17"/>
                <w:color w:val="auto"/>
              </w:rPr>
            </w:pPr>
          </w:p>
        </w:tc>
        <w:tc>
          <w:tcPr>
            <w:tcW w:w="2100" w:type="dxa"/>
            <w:vAlign w:val="bottom"/>
            <w:gridSpan w:val="5"/>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USE OF PROCEEDS</w:t>
              </w:r>
            </w:hyperlink>
          </w:p>
        </w:tc>
        <w:tc>
          <w:tcPr>
            <w:tcW w:w="2600" w:type="dxa"/>
            <w:vAlign w:val="bottom"/>
            <w:gridSpan w:val="7"/>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SA-8</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DILUTION</w:t>
              </w:r>
            </w:hyperlink>
          </w:p>
        </w:tc>
        <w:tc>
          <w:tcPr>
            <w:tcW w:w="3320" w:type="dxa"/>
            <w:vAlign w:val="bottom"/>
            <w:gridSpan w:val="11"/>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SA-9</w:t>
            </w:r>
          </w:p>
        </w:tc>
        <w:tc>
          <w:tcPr>
            <w:tcW w:w="0" w:type="dxa"/>
            <w:vAlign w:val="bottom"/>
          </w:tcPr>
          <w:p>
            <w:pPr>
              <w:spacing w:after="0"/>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SA-10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2140" w:type="dxa"/>
            <w:vAlign w:val="bottom"/>
            <w:gridSpan w:val="6"/>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SA-12</w:t>
            </w:r>
          </w:p>
        </w:tc>
        <w:tc>
          <w:tcPr>
            <w:tcW w:w="0" w:type="dxa"/>
            <w:vAlign w:val="bottom"/>
          </w:tcPr>
          <w:p>
            <w:pPr>
              <w:spacing w:after="0"/>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SA-12</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SA-12</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which we refer to as the “SEC,” utilizing a “shelf” registration process. Under this shelf registration process, we may from time to time offer shares of our common stock having an aggregate offering price of up to $50,000,000 under this prospectus at prices and on terms to be determined by market conditions at the time of each such offering.</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relates to the offering of our common stock. Before buying any of the common stock that we are offering, we urge you to carefully read this prospectus and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 this prospectus - the statement in the document having the later date modifies or supersedes the earlier statement.</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and the sales agent has not, authorized anyone to provide you with any information other than that contained or incorporated by reference in this prospectus, any accompanying prospectus supplement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the documents incorporated by reference herein, and any related prospectus supplement or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Werewolf Therapeutics, Inc., a Delaware corporation, and its consolidated subsidiary.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This prospectus and the information incorporated by reference in this prospectus contain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or incorporated by reference in this prospectus, including statements regarding our strategy, future operations, future financial position, future revenue, projected costs, prospects, plans, objectives of management and expected market growth, are forward-looking statements. The words “aim,” “anticipate,” “believe,” “contemplate,” “continue,” “could,” “estimate,” “expect,” “goal,” “intend,” “may,” “might,” “objective,” “ongoing,”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31" w:lineRule="exact"/>
        <w:rPr>
          <w:sz w:val="20"/>
          <w:szCs w:val="20"/>
          <w:color w:val="auto"/>
        </w:rPr>
      </w:pPr>
    </w:p>
    <w:p>
      <w:pPr>
        <w:ind w:left="1080" w:right="3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preclinical studies and planned clinical trials, including the anticipated timing of submission of investigational new drug applications;</w:t>
      </w:r>
    </w:p>
    <w:p>
      <w:pPr>
        <w:spacing w:after="0" w:line="75"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estimates regarding expenses, capital requirements, need for additional financing and the period over which we believe our existing cash and cash equivalents will be sufficient to fund our operating expenses and capital expenditure requirements;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and obtain and maintain regulatory approvals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potential advantages of our PREDATOR platform and our ability to use our platform to identify and develop future product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opportunities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intellectual property position and our expectations regarding our ability to obtain and maintain intellectual property protection;</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clinical trials;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cautionary statements included in this prospectus, particularly under the heading “Risk Factors,” under the heading “Summary of Risk Factors” in our Annual Report on Form 10-K for the fiscal year ended December 31, 2021, the risk factors detailed in Item 1A, “Risk Factors” of Part 1 of our Annual Report on Form 10-K and of our most recent Quarterly Report on Form 10-Q and in our SEC reports filed after this prospectus,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make. Our forward-looking statements do not reflect the potential impact of any future acquisitions, mergers, dispositions, collaborations, joint ventures or investments that we may make or enter into.</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1000"/>
          </w:cols>
          <w:pgMar w:left="320" w:top="459" w:right="5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50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93"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This summary highlights certain information about us, this offering and selected information contained in or incorporated by reference into this prospectus from our </w:t>
      </w:r>
      <w:hyperlink r:id="rId27">
        <w:r>
          <w:rPr>
            <w:rFonts w:ascii="Arial" w:cs="Arial" w:eastAsia="Arial" w:hAnsi="Arial"/>
            <w:sz w:val="16"/>
            <w:szCs w:val="16"/>
            <w:i w:val="1"/>
            <w:iCs w:val="1"/>
            <w:u w:val="single" w:color="auto"/>
            <w:color w:val="0000EE"/>
          </w:rPr>
          <w:t>Annual Report on Form 10-K for the year ended December 31, 2021</w:t>
        </w:r>
      </w:hyperlink>
      <w:r>
        <w:rPr>
          <w:rFonts w:ascii="Arial" w:cs="Arial" w:eastAsia="Arial" w:hAnsi="Arial"/>
          <w:sz w:val="16"/>
          <w:szCs w:val="16"/>
          <w:i w:val="1"/>
          <w:iCs w:val="1"/>
          <w:color w:val="auto"/>
        </w:rPr>
        <w:t>, our Quarterly Report on Form 10-Q for the quarter ended March 31, 2022, and other filings with the SEC listed below under the heading “Incorporation by Reference.”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 this prospectus and the information under the heading “Risk Factors” in this prospectus.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300" w:right="220" w:firstLine="426"/>
        <w:spacing w:after="0" w:line="273" w:lineRule="auto"/>
        <w:rPr>
          <w:sz w:val="20"/>
          <w:szCs w:val="20"/>
          <w:color w:val="auto"/>
        </w:rPr>
      </w:pPr>
      <w:r>
        <w:rPr>
          <w:rFonts w:ascii="Arial" w:cs="Arial" w:eastAsia="Arial" w:hAnsi="Arial"/>
          <w:sz w:val="17"/>
          <w:szCs w:val="17"/>
          <w:color w:val="auto"/>
        </w:rPr>
        <w:t>We are an innovative biopharmaceutical company pioneering the development of therapeutics engineered to stimulate the body’s immune system for the treatment of cancer. We are leveraging our proprietary PREDATOR platform to design conditionally activated molecules that stimulate both adaptive and innate immunity with the goal of addressing the limitations of conventional proinflammatory immune therapies. Our molecules, which we refer to as INDUKINE molecules, are intended to activate selectively in the tumor microenvironment. Our most advanced product candidates, WTX-124 and WTX-330, are systemically delivered, conditionally activated Interleukin-2 and Interleukin-12, respectively, INDUKINE molecules for the treatment of multiple tumor types.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on October 19, 2017 under the name Werewolf Therapeutics, Inc. Our principal executive offices are located at 1030 Massachusetts Avenue, Suite 210, Cambridge, MA 02138. Our website address is www.werewolftx.com. The information contained on, or accessible through, our website does not constitute part of this prospectus. We have included our website address in this prospectus solely as an inactive textual reference.</w:t>
      </w:r>
    </w:p>
    <w:p>
      <w:pPr>
        <w:spacing w:after="0" w:line="187"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The service marks and trademarks that we own include PREDATOR</w:t>
      </w:r>
      <w:r>
        <w:rPr>
          <w:rFonts w:ascii="Arial" w:cs="Arial" w:eastAsia="Arial" w:hAnsi="Arial"/>
          <w:sz w:val="14"/>
          <w:szCs w:val="14"/>
          <w:color w:val="auto"/>
        </w:rPr>
        <w:t>™</w:t>
      </w:r>
      <w:r>
        <w:rPr>
          <w:rFonts w:ascii="Arial" w:cs="Arial" w:eastAsia="Arial" w:hAnsi="Arial"/>
          <w:sz w:val="17"/>
          <w:szCs w:val="17"/>
          <w:color w:val="auto"/>
        </w:rPr>
        <w:t xml:space="preserve"> and INDUKINE</w:t>
      </w:r>
      <w:r>
        <w:rPr>
          <w:rFonts w:ascii="Arial" w:cs="Arial" w:eastAsia="Arial" w:hAnsi="Arial"/>
          <w:sz w:val="14"/>
          <w:szCs w:val="14"/>
          <w:color w:val="auto"/>
        </w:rPr>
        <w:t>™</w:t>
      </w:r>
      <w:r>
        <w:rPr>
          <w:rFonts w:ascii="Arial" w:cs="Arial" w:eastAsia="Arial" w:hAnsi="Arial"/>
          <w:sz w:val="17"/>
          <w:szCs w:val="17"/>
          <w:color w:val="auto"/>
        </w:rPr>
        <w:t xml:space="preserve">.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we will assert, to the fullest extent under applicable law, our rights to our trademarks, service marks and trade names.</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266" w:lineRule="exact"/>
        <w:rPr>
          <w:sz w:val="20"/>
          <w:szCs w:val="20"/>
          <w:color w:val="auto"/>
        </w:rPr>
      </w:pPr>
    </w:p>
    <w:p>
      <w:pPr>
        <w:ind w:left="380" w:hanging="78"/>
        <w:spacing w:after="0" w:line="347" w:lineRule="auto"/>
        <w:rPr>
          <w:sz w:val="20"/>
          <w:szCs w:val="20"/>
          <w:color w:val="auto"/>
        </w:rPr>
      </w:pPr>
      <w:r>
        <w:rPr>
          <w:rFonts w:ascii="Arial" w:cs="Arial" w:eastAsia="Arial" w:hAnsi="Arial"/>
          <w:sz w:val="16"/>
          <w:szCs w:val="16"/>
          <w:b w:val="1"/>
          <w:bCs w:val="1"/>
          <w:color w:val="auto"/>
        </w:rPr>
        <w:t>Common stock to be outstanding after this offering assuming the sale of all shares in this offering:</w:t>
      </w: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$50,000,000.</w:t>
      </w:r>
    </w:p>
    <w:p>
      <w:pPr>
        <w:spacing w:after="0" w:line="2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Up to 36,930,108 shares, assuming sales of 9,276,437 shares of our common stock in the offering at a price of $5.39 per share, which was the closing price of our common stock on The Nasdaq Global Select Market on May 9, 2022. The actual number of shares issued will vary depending on the sales price under this offering.</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market offering” that may be made from time to time on the Nasdaq Global Select Market or other market for our common stock in the United States through our sales agent, SVB Securities LLC. See “Plan of Distribution” on page SA-10 of this prospectus for more information.</w:t>
      </w:r>
    </w:p>
    <w:p>
      <w:pPr>
        <w:spacing w:after="0" w:line="200" w:lineRule="exact"/>
        <w:rPr>
          <w:sz w:val="20"/>
          <w:szCs w:val="20"/>
          <w:color w:val="auto"/>
        </w:rPr>
      </w:pPr>
    </w:p>
    <w:p>
      <w:pPr>
        <w:sectPr>
          <w:pgSz w:w="11900" w:h="16838" w:orient="portrait"/>
          <w:cols w:equalWidth="0" w:num="2">
            <w:col w:w="4220" w:space="120"/>
            <w:col w:w="6600"/>
          </w:cols>
          <w:pgMar w:left="320" w:top="459" w:right="63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intend to use the net proceeds from the sale of securities offered under this prospectus</w:t>
      </w:r>
    </w:p>
    <w:p>
      <w:pPr>
        <w:spacing w:after="0" w:line="27" w:lineRule="exact"/>
        <w:rPr>
          <w:sz w:val="20"/>
          <w:szCs w:val="20"/>
          <w:color w:val="auto"/>
        </w:rPr>
      </w:pPr>
    </w:p>
    <w:p>
      <w:pPr>
        <w:ind w:left="4340" w:right="60"/>
        <w:spacing w:after="0" w:line="253" w:lineRule="auto"/>
        <w:rPr>
          <w:sz w:val="20"/>
          <w:szCs w:val="20"/>
          <w:color w:val="auto"/>
        </w:rPr>
      </w:pPr>
      <w:r>
        <w:rPr>
          <w:rFonts w:ascii="Arial" w:cs="Arial" w:eastAsia="Arial" w:hAnsi="Arial"/>
          <w:sz w:val="18"/>
          <w:szCs w:val="18"/>
          <w:color w:val="auto"/>
        </w:rPr>
        <w:t>primarily for general corporate purposes, which may include, without limitation, research and development expenditures, clinical trial expenditures, the acquisition or in-licensing of products or product candidates, business or technologies, collaborations, working capital and capital expenditures. See “Use of Proceeds” on page SA-8 of this prospectus for more information.</w:t>
      </w:r>
    </w:p>
    <w:p>
      <w:pPr>
        <w:spacing w:after="0" w:line="21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See “Risk Factors” beginning on page SA-6 of this prospectus and the other information</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included in, or incorporated by reference into, this prospectus for a discussion of certain</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factors you should carefully consider before deciding to invest in shares of our common</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stock.</w:t>
      </w:r>
    </w:p>
    <w:p>
      <w:pPr>
        <w:spacing w:after="0" w:line="23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Nasdaq Global Select Market symbol:</w:t>
      </w:r>
      <w:r>
        <w:rPr>
          <w:sz w:val="20"/>
          <w:szCs w:val="20"/>
          <w:color w:val="auto"/>
        </w:rPr>
        <w:tab/>
      </w:r>
      <w:r>
        <w:rPr>
          <w:rFonts w:ascii="Arial" w:cs="Arial" w:eastAsia="Arial" w:hAnsi="Arial"/>
          <w:sz w:val="18"/>
          <w:szCs w:val="18"/>
          <w:color w:val="auto"/>
        </w:rPr>
        <w:t>“HOWL”</w:t>
      </w:r>
    </w:p>
    <w:p>
      <w:pPr>
        <w:spacing w:after="0" w:line="243"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The number of shares of our common stock that will be outstanding immediately after this offering is based on 27,653,671 shares outstanding as of March 31, 2022, which includes 233,634 shares of unvested restricted stock subject to repurchase by us, and excludes:</w:t>
      </w:r>
    </w:p>
    <w:p>
      <w:pPr>
        <w:spacing w:after="0" w:line="52" w:lineRule="exact"/>
        <w:rPr>
          <w:sz w:val="20"/>
          <w:szCs w:val="20"/>
          <w:color w:val="auto"/>
        </w:rPr>
      </w:pPr>
    </w:p>
    <w:p>
      <w:pPr>
        <w:ind w:left="1240" w:right="220" w:hanging="415"/>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4,132,612 shares of common stock issuable upon exercise of stock options outstanding as of March 31, 2022, at a weighted-average exercise price of $9.00 per share;</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2,406,657 shares of common stock reserved as of March 31, 2022 for future issuance under our 2021 Stock Incentive Plan, as well as any automatic increases in the number of shares of common stock reserved under this plan; and</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244,000 shares of common stock reserved as of March 31, 2022 for future issuance under our 2021 Employee Stock Purchase Plan, as well as any automatic increases in the number of shares of common stock reserved under this plan.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 assumes no exercise of the outstanding options described above.</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0940"/>
          </w:cols>
          <w:pgMar w:left="320" w:top="459" w:right="6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consider carefully the risks and uncertainties described below and under the section captioned “Risk Factors” contained in our most recent Annual Report on Form 10-K, Quarterly Report on Form 10-Q and other filings we make with the SEC from time to time, which are incorporated by reference herein in their entirety, together with other information in this prospectus, the information and documents incorporated by reference in this prospectus, and in any prospectus supplement or free writing prospectus that we authorize for use in connection with this offering. If any of these risks actually occurs, our business, financial condition, results of operations or cash flow could suffer materially. In such event, the trading price of our common stock could decline and you might lose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shares sold in this offering, if any, will be sold from time to time at various prices. However, the expected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shares of our common stock in the aggregate amount of $50,000,000 at an assumed offering price of $5.39 per share, the last reported sale price of our common stock on The Nasdaq Global Select Market on May 9, 2022, after deducting commissions and estimated aggregate offering expenses payable by us, you will experience immediate dilution of $0.32 per share, representing the difference between our as adjusted net tangible book value per share as of March 31, 2022 after giving effect to this offering and the assumed offering price of $5.39 per share. To the extent outstanding options are exercised, you will incur further dilution. See “Dilution” in this prospectus for a more detailed illustration of the dilution you would incur if you participate in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including the net proceeds we receive from this offering, and may not use them effectively.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management will have broad discretion in the use of our available cash, cash equivalents and marketable securities, including the net proceeds received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to fund operations, we may invest our cash, cash equivalents and marketable securities, including the net proceeds we receive in this offering, in a manner that does not produce income or that loses value.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and sell shares of our common stock having aggregate gross sales proceeds of up to $50,000,000 from time to time (before deducting sales agent commissions and expenses).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intend to use the net proceeds from the sale of any shares of common stock offered under this prospectus for general corporate purposes, which may include, without limitation, research and development expenditures, clinical trial expenditures, the acquisition or in-licensing of products or product candidates, business or technologies, collaborations, working capital and capital expenditures.</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expected use of the net proceeds from this offering represents our intentions based on our current plans and prevailing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cost and results of our preclinical programs, our ability to obtain additional financing and other factors described in the “Risk Factors” section of this prospectus, as well as the amount of cash used in our operations and any unforeseen cash needs. We may find it necessary or advisable to use the net proceeds for other purposes. Our management will have broad discretion in the application of the net proceeds, and investors will be relying on our judgment regarding the application of the net proceeds from this offering.</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net tangible book value as of March 31, 2022 was approximately $139.3 million, or $5.04 per share of common stock. Our net tangible book value is the amount of our total tangible assets less our total liabilities. Net tangible book value per share is equal to our total tangible assets, less our total liabilities, divided by the 27,653,671 shares of our common stock outstanding as of March 31, 2022.</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giving effect to an assumed sale of shares of our common stock in the aggregate amount of $50,000,000 in this offering at an assumed offering price of $5.39 per share, the last reported sale price of our common stock on The Nasdaq Global Select Market on May 9, 2022, and after deducting commissions and estimated offering expenses payable by us, our as adjusted net tangible book value as of March 31, 2022 would have been approximately $187.4 million, or $5.07 per share of common stock. This represents an immediate increase in net tangible book value of $0.03 per share to our existing stockholders and an immediate dilution of $0.32 per share to new investors in this offering. The following table illustrates this calculation on a per share basis.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tangible book value per share as of March 31, 2022</w:t>
            </w:r>
          </w:p>
        </w:tc>
        <w:tc>
          <w:tcPr>
            <w:tcW w:w="1320" w:type="dxa"/>
            <w:vAlign w:val="bottom"/>
            <w:gridSpan w:val="3"/>
          </w:tcPr>
          <w:p>
            <w:pPr>
              <w:jc w:val="right"/>
              <w:ind w:right="390"/>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Increase in net tangible book value per share attributable to new investors purchasing</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in this offering</w:t>
            </w:r>
          </w:p>
        </w:tc>
        <w:tc>
          <w:tcPr>
            <w:tcW w:w="132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0.03</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w:t>
            </w:r>
          </w:p>
        </w:tc>
      </w:tr>
      <w:tr>
        <w:trPr>
          <w:trHeight w:val="27"/>
        </w:trPr>
        <w:tc>
          <w:tcPr>
            <w:tcW w:w="6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0.32</w:t>
            </w:r>
          </w:p>
        </w:tc>
      </w:tr>
      <w:tr>
        <w:trPr>
          <w:trHeight w:val="20"/>
        </w:trPr>
        <w:tc>
          <w:tcPr>
            <w:tcW w:w="6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as adjusted information is illustrative only and will adjust based on the actual offering price, the actual number of shares sold and other terms of the offering determined at the time shares of our common stock are sold pursuant to this prospectus. The as adjusted information assumes that all of our common stock in the aggregate amount of $50,000,000 is sold at the assumed offering price of $5.39 per share, the last reported sale price of our common stock on The Nasdaq Global Select Market on May 9, 2022. The shares sold in this offering, if any, will be sold from time to time at various prices.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table and discussion above are based on the 27,653,671 shares of common stock outstanding as of March 31, 2022, which includes 233,634 shares of unvested restricted stock subject to repurchase by us, and excludes:</w:t>
      </w:r>
    </w:p>
    <w:p>
      <w:pPr>
        <w:spacing w:after="0" w:line="76" w:lineRule="exact"/>
        <w:rPr>
          <w:sz w:val="20"/>
          <w:szCs w:val="20"/>
          <w:color w:val="auto"/>
        </w:rPr>
      </w:pPr>
    </w:p>
    <w:p>
      <w:pPr>
        <w:ind w:left="1080" w:right="5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4,132,612 shares of common stock issuable upon exercise of stock options outstanding as of March 31, 2022, at a weighted-average exercise price of $9.00 per share;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2,406,657 shares of common stock reserved as of March 31, 2022 for future issuance under our 2021 Stock Incentive Plan, as well as any automatic increases in the number of shares of common stock reserved under this plan;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244,000 shares of common stock reserved as of March 31, 2022 for future issuance under our 2021 Employee Stock Purchase Plan, as well as any automatic increases in the number of shares of common stock reserved under this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entered into a sales agreement with SVB Securities under which we may offer and sell from time to time shares of our common stock through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SVB Securities acting as sales agent. Pursuant to this prospectus and the accompanying prospectus, we may offer and sell up to an aggregate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 million of our common stock. Sales of our common stock, if any, will be made at market prices by any method that is deemed to be an “at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offering” as defined in Rule 415(a)(4) under the Securities Act, including sales made directly on the Nasdaq Global Select Market or any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trading market for our common stock. The sales agreement has been filed as an exhibit to our Registration Statement on Form S-3 of which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prospectus forms a part. The below description of the material provisions of the sales agreement does not purport to be a complete statement of its terms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conditions.</w:t>
      </w:r>
    </w:p>
    <w:p>
      <w:pPr>
        <w:spacing w:after="0" w:line="21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SVB Securities will offer our common stock subject to the terms and conditions of the sales agreement on a daily basis or as otherwise agreed upon by us and SVB Securities. We will designate the maximum amount of common stock to be sold through SVB Securities on a daily basis or otherwise determine such maximum amount together with SVB Securities. Subject to the terms and conditions of the sales agreement, SVB Securities will use its commercially reasonable efforts consistent with its normal trading and sales practices to sell such shares up to the amount specified on such terms. We may instruct SVB Securities not to sell common stock if the sales cannot be effected at or above the price designated by us in any such instruction. SVB Securities or we may suspend the offering of our common stock being made through SVB Securities under the sales agreement upon proper notice to the other party. SVB Securities and we each have the right, by giving written notice as specified in the sales agreement, to terminate the sales agreement in each party’s sole discretion at any time.</w:t>
      </w:r>
    </w:p>
    <w:p>
      <w:pPr>
        <w:spacing w:after="0" w:line="17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aggregate compensation payable to SVB Securities is equal to 3.0% of the aggregate gross sales price of the shares sold through it pursuant to the sales agreement. We have also agreed to reimburse SVB Securities up to an aggregate of $75,000 of SVB Securities’ actual outside legal expenses incurred by SVB Securities in connection with this offering and certain ongoing expenses. We estimate that the total expenses of the offering payable by us, excluding any commissions or expense reimbursement payable to SVB Securities under the sales agreement, will be approximately $350,000.</w:t>
      </w:r>
    </w:p>
    <w:p>
      <w:pPr>
        <w:spacing w:after="0" w:line="15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4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SVB Securities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report at least quarterly the number of shares of common stock sold through SVB Securities under the sales agreement, the net proceeds to us and the compensation paid by us to SVB Securities in connection with the sales of common stock. Settlement for sales of common stock will occur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connection with the sales of our common stock on our behalf, SVB Securities will be deemed to be an “underwriter” within the meaning of the Securities Act and the compensation paid to SVB Securities will be deemed to be an underwriting commission or discount. We have agreed in the sales agreement to provide indemnification and contribution to SVB Securities against certain liabilities, including liabilities under the Securities Act. As sales agent, SVB Securities will not engage in any transactions that stabilize our common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and trades under the symbol “HOWL.” The transfer agent of our common stock is currently Computershare Trust Company, N.A.</w:t>
      </w:r>
    </w:p>
    <w:p>
      <w:pPr>
        <w:spacing w:after="0" w:line="170"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SVB Securities and/or its affiliates have provided, and may in the future provide various investment banking, commercial banking, financial advisory and other financial services for us and our affiliates, for which services they have received, and may in the future receive, customary fees.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0980"/>
          </w:cols>
          <w:pgMar w:left="320" w:top="459" w:right="5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validity of the shares of common stock offered hereby will be passed upon for us by Wilmer Cutler Pickering Hale and Dorr LLP, Boston, Massachusetts. SVB Securities LLC is being represented in connection with this offering by Cooley LLP, New York, New York.</w:t>
      </w: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financial statements of Werewolf Therapeutics, Inc. as of December 31, 2021 and 2020, and for each of the two years in the period ended December 31, 2021, incorporated by reference in this prospectus,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www.werewolftx.com.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w:t>
      </w:r>
    </w:p>
    <w:p>
      <w:pPr>
        <w:spacing w:after="0" w:line="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No. 001-40366)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8" w:lineRule="exact"/>
        <w:rPr>
          <w:sz w:val="20"/>
          <w:szCs w:val="20"/>
          <w:color w:val="auto"/>
        </w:rPr>
      </w:pPr>
    </w:p>
    <w:p>
      <w:pPr>
        <w:ind w:left="1080" w:right="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2021, as filed with the SEC on March 24, 2022, including the information specifically incorporated by reference into the Annual Report on Form 10-K from our </w:t>
      </w:r>
      <w:hyperlink r:id="rId2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2022 Annual Meeting of Stockholders;</w:t>
      </w:r>
    </w:p>
    <w:p>
      <w:pPr>
        <w:spacing w:after="0" w:line="11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March 31, 2022, as filed with the SEC on </w:t>
      </w:r>
      <w:hyperlink r:id="rId29">
        <w:r>
          <w:rPr>
            <w:rFonts w:ascii="Arial" w:cs="Arial" w:eastAsia="Arial" w:hAnsi="Arial"/>
            <w:sz w:val="18"/>
            <w:szCs w:val="18"/>
            <w:u w:val="single" w:color="auto"/>
            <w:color w:val="0000EE"/>
          </w:rPr>
          <w:t>May 10,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Current Reports on Form 8-K as filed with the SEC on </w:t>
      </w:r>
      <w:hyperlink r:id="rId30">
        <w:r>
          <w:rPr>
            <w:rFonts w:ascii="Arial" w:cs="Arial" w:eastAsia="Arial" w:hAnsi="Arial"/>
            <w:sz w:val="18"/>
            <w:szCs w:val="18"/>
            <w:u w:val="single" w:color="auto"/>
            <w:color w:val="0000EE"/>
          </w:rPr>
          <w:t>April 7,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1">
        <w:r>
          <w:rPr>
            <w:rFonts w:ascii="Arial" w:cs="Arial" w:eastAsia="Arial" w:hAnsi="Arial"/>
            <w:sz w:val="18"/>
            <w:szCs w:val="18"/>
            <w:u w:val="single" w:color="auto"/>
            <w:color w:val="0000EE"/>
          </w:rPr>
          <w:t>April 15,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filed with the SEC on April 27, 2021, as the description therein has been updated and superseded by the description of our capital stock contained in </w:t>
      </w:r>
      <w:hyperlink r:id="rId33">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as filed with the SEC on March 24, 2022, and including any amendments and reports filed for the purpose of updating such description.</w:t>
      </w:r>
    </w:p>
    <w:p>
      <w:pPr>
        <w:spacing w:after="0" w:line="187" w:lineRule="exact"/>
        <w:rPr>
          <w:rFonts w:ascii="Arial" w:cs="Arial" w:eastAsia="Arial" w:hAnsi="Arial"/>
          <w:sz w:val="18"/>
          <w:szCs w:val="18"/>
          <w:color w:val="auto"/>
        </w:rPr>
      </w:pPr>
    </w:p>
    <w:p>
      <w:pPr>
        <w:jc w:val="center"/>
        <w:ind w:right="120"/>
        <w:spacing w:after="0"/>
        <w:rPr>
          <w:sz w:val="20"/>
          <w:szCs w:val="20"/>
          <w:color w:val="auto"/>
        </w:rPr>
      </w:pPr>
      <w:r>
        <w:rPr>
          <w:rFonts w:ascii="Arial" w:cs="Arial" w:eastAsia="Arial" w:hAnsi="Arial"/>
          <w:sz w:val="18"/>
          <w:szCs w:val="18"/>
          <w:color w:val="auto"/>
        </w:rPr>
        <w:t>You may request a copy of these filings, at no cost, by writing, telephoning or emailing us at the following address or telephone number:</w:t>
      </w:r>
    </w:p>
    <w:p>
      <w:pPr>
        <w:spacing w:after="0" w:line="225"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Werewolf Therapeutics, Inc.</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1030 Massachusetts Avenue</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Suite 210</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Cambridge, Massachusetts 02138</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952-0555</w:t>
      </w:r>
    </w:p>
    <w:p>
      <w:pPr>
        <w:spacing w:after="0" w:line="9" w:lineRule="exact"/>
        <w:rPr>
          <w:rFonts w:ascii="Arial" w:cs="Arial" w:eastAsia="Arial" w:hAnsi="Arial"/>
          <w:sz w:val="18"/>
          <w:szCs w:val="18"/>
          <w:color w:val="auto"/>
        </w:rPr>
      </w:pPr>
    </w:p>
    <w:p>
      <w:pPr>
        <w:ind w:left="4860"/>
        <w:spacing w:after="0"/>
        <w:rPr>
          <w:rFonts w:ascii="Arial" w:cs="Arial" w:eastAsia="Arial" w:hAnsi="Arial"/>
          <w:sz w:val="18"/>
          <w:szCs w:val="18"/>
          <w:color w:val="auto"/>
        </w:rPr>
      </w:pPr>
      <w:r>
        <w:rPr>
          <w:rFonts w:ascii="Arial" w:cs="Arial" w:eastAsia="Arial" w:hAnsi="Arial"/>
          <w:sz w:val="18"/>
          <w:szCs w:val="18"/>
          <w:color w:val="auto"/>
        </w:rPr>
        <w:t>IR@werewolftx.com</w:t>
      </w:r>
    </w:p>
    <w:p>
      <w:pPr>
        <w:spacing w:after="0" w:line="14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648970</wp:posOffset>
            </wp:positionV>
            <wp:extent cx="1594485" cy="8401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1594485" cy="840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60"/>
        <w:spacing w:after="0"/>
        <w:rPr>
          <w:sz w:val="20"/>
          <w:szCs w:val="20"/>
          <w:color w:val="auto"/>
        </w:rPr>
      </w:pPr>
      <w:r>
        <w:rPr>
          <w:rFonts w:ascii="Arial" w:cs="Arial" w:eastAsia="Arial" w:hAnsi="Arial"/>
          <w:sz w:val="23"/>
          <w:szCs w:val="23"/>
          <w:b w:val="1"/>
          <w:bCs w:val="1"/>
          <w:color w:val="auto"/>
        </w:rPr>
        <w:t>Up to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1991995</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0"/>
        <w:spacing w:after="0"/>
        <w:rPr>
          <w:sz w:val="20"/>
          <w:szCs w:val="20"/>
          <w:color w:val="auto"/>
        </w:rPr>
      </w:pPr>
      <w:r>
        <w:rPr>
          <w:rFonts w:ascii="Arial" w:cs="Arial" w:eastAsia="Arial" w:hAnsi="Arial"/>
          <w:sz w:val="28"/>
          <w:szCs w:val="28"/>
          <w:b w:val="1"/>
          <w:bCs w:val="1"/>
          <w:color w:val="auto"/>
        </w:rPr>
        <w:t>SVB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1219200</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Set forth below are estimates (except in the case of the SEC registration fee and FINRA filing fee) of the amount of fees and expenses to be incurred in connection with the issuance and distribution of the offered securities, other than underwriting discounts and commissions.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13,905</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23,000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Accounting services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0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Delaware General Corporation Law (“DGCL”) and our certificate of incorporation.</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person acted in good faith and in a manner he or she reasonably believed to be in or not opposed to the best interests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corporation, and, in the case of claims, issues and matters as to which such person shall have been adjudged liable to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72"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Section 102(b)(7) of the DGCL provides, generally, that our certificate of incorporation may contain a provision eliminating or limiting the personal liability of a director to the corporation or its shareholders for monetary damages for breach of fiduciary duty as a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provision may not eliminate or limit the liability of a director (i) for any breach of the director’s duty of loyalty to the corporation or its shareholders,</w:t>
      </w:r>
    </w:p>
    <w:p>
      <w:pPr>
        <w:spacing w:after="0" w:line="2" w:lineRule="exact"/>
        <w:rPr>
          <w:sz w:val="20"/>
          <w:szCs w:val="20"/>
          <w:color w:val="auto"/>
        </w:rPr>
      </w:pPr>
    </w:p>
    <w:p>
      <w:pPr>
        <w:ind w:left="120" w:right="120" w:hanging="4"/>
        <w:spacing w:after="0" w:line="255"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or threatened to be made a party to any threatened, pending or completed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and only to the extent that the Court of Chancery of Delaware or the court in which such action or suit was brought determines that, despite such adjudication but in view of all of the circumstances, he or she is fairly and reasonably entitled to indemnification of such expenses (including attorney’s fees).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directors and executive officers. In general, these agreements provide that we will indemnify the directors or executive officers to the fullest extent permitted by law for claims arising in his or her capacity as a director or executive officer of our company or in connection with his or her service at our request for another corporation or entity. The indemnification agreements also provide for procedures that will apply in the event that a director or executive officer makes a claim for indemnification and establish certain presumptions that are favorable to the executive officer or director.</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300" w:type="dxa"/>
            <w:vAlign w:val="bottom"/>
            <w:gridSpan w:val="17"/>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12"/>
          </w:tcPr>
          <w:p>
            <w:pPr>
              <w:ind w:left="156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10"/>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310"/>
        </w:trPr>
        <w:tc>
          <w:tcPr>
            <w:tcW w:w="720" w:type="dxa"/>
            <w:vAlign w:val="bottom"/>
          </w:tcPr>
          <w:p>
            <w:pPr>
              <w:ind w:left="1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720" w:type="dxa"/>
            <w:vAlign w:val="bottom"/>
          </w:tcPr>
          <w:p>
            <w:pPr>
              <w:ind w:left="1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72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Sales Agreement, dated as of May 10, 2022, by and between the Registrant and SVB Securities LLC</w:t>
              </w:r>
            </w:hyperlink>
          </w:p>
        </w:tc>
        <w:tc>
          <w:tcPr>
            <w:tcW w:w="2660" w:type="dxa"/>
            <w:vAlign w:val="bottom"/>
            <w:gridSpan w:val="5"/>
          </w:tcPr>
          <w:p>
            <w:pPr>
              <w:spacing w:after="0"/>
              <w:rPr>
                <w:sz w:val="24"/>
                <w:szCs w:val="24"/>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Restated Certificate of Incorporation of the Registrant (incorporated by reference to Exhibit 3.1 to the Registrant’s Current Report on</w:t>
              </w:r>
            </w:hyperlink>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Form 8-K, filed with the Securities and Exchange Commission on May 5, 2021)</w:t>
              </w:r>
            </w:hyperlink>
          </w:p>
        </w:tc>
        <w:tc>
          <w:tcPr>
            <w:tcW w:w="3800" w:type="dxa"/>
            <w:vAlign w:val="bottom"/>
            <w:tcBorders>
              <w:top w:val="single" w:sz="8" w:color="0000EE"/>
            </w:tcBorders>
            <w:gridSpan w:val="4"/>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Amended and Restated Bylaws of the Registrant (incorporated by reference to Exhibit 3.2 to the Registrant’s Current Report on Form</w:t>
              </w:r>
            </w:hyperlink>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8-K, filed with the Securities and Exchange Commission on May 5, 2021)</w:t>
              </w:r>
            </w:hyperlink>
          </w:p>
        </w:tc>
        <w:tc>
          <w:tcPr>
            <w:tcW w:w="3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Amended and Restated Investors’ Rights Agreement, dated as of December 23, 2020, by and among the Registrant and the other parties</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thereto (incorporated by reference to Exhibit 4.2 to Amendment No. 1 to the Registrant’s Registration Statement on Form S-1, filed with</w:t>
              </w:r>
            </w:hyperlink>
          </w:p>
        </w:tc>
        <w:tc>
          <w:tcPr>
            <w:tcW w:w="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the Securities and Exchange Commission on April 26, 2021)</w:t>
              </w:r>
            </w:hyperlink>
          </w:p>
        </w:tc>
        <w:tc>
          <w:tcPr>
            <w:tcW w:w="5540" w:type="dxa"/>
            <w:vAlign w:val="bottom"/>
            <w:gridSpan w:val="10"/>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Form of Senior Indenture</w:t>
              </w:r>
            </w:hyperlink>
          </w:p>
        </w:tc>
        <w:tc>
          <w:tcPr>
            <w:tcW w:w="8080" w:type="dxa"/>
            <w:vAlign w:val="bottom"/>
            <w:gridSpan w:val="14"/>
          </w:tcPr>
          <w:p>
            <w:pPr>
              <w:spacing w:after="0"/>
              <w:rPr>
                <w:sz w:val="24"/>
                <w:szCs w:val="24"/>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Form of Subordinated Indenture</w:t>
              </w:r>
            </w:hyperlink>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5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Form of Senior Note</w:t>
              </w:r>
            </w:hyperlink>
          </w:p>
        </w:tc>
        <w:tc>
          <w:tcPr>
            <w:tcW w:w="820" w:type="dxa"/>
            <w:vAlign w:val="bottom"/>
            <w:tcBorders>
              <w:top w:val="single" w:sz="8" w:color="0000EE"/>
            </w:tcBorders>
            <w:gridSpan w:val="3"/>
          </w:tcPr>
          <w:p>
            <w:pPr>
              <w:spacing w:after="0"/>
              <w:rPr>
                <w:sz w:val="24"/>
                <w:szCs w:val="24"/>
                <w:color w:val="auto"/>
              </w:rPr>
            </w:pPr>
          </w:p>
        </w:tc>
        <w:tc>
          <w:tcPr>
            <w:tcW w:w="7600" w:type="dxa"/>
            <w:vAlign w:val="bottom"/>
            <w:gridSpan w:val="12"/>
          </w:tcPr>
          <w:p>
            <w:pPr>
              <w:spacing w:after="0"/>
              <w:rPr>
                <w:sz w:val="24"/>
                <w:szCs w:val="24"/>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Form of Subordinated Note</w:t>
              </w:r>
            </w:hyperlink>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r>
      <w:tr>
        <w:trPr>
          <w:trHeight w:val="345"/>
        </w:trPr>
        <w:tc>
          <w:tcPr>
            <w:tcW w:w="720" w:type="dxa"/>
            <w:vAlign w:val="bottom"/>
          </w:tcPr>
          <w:p>
            <w:pPr>
              <w:ind w:left="18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18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ind w:left="180"/>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Subscription Rights Agreement</w:t>
            </w:r>
          </w:p>
        </w:tc>
      </w:tr>
      <w:tr>
        <w:trPr>
          <w:trHeight w:val="324"/>
        </w:trPr>
        <w:tc>
          <w:tcPr>
            <w:tcW w:w="720" w:type="dxa"/>
            <w:vAlign w:val="bottom"/>
          </w:tcPr>
          <w:p>
            <w:pPr>
              <w:ind w:left="180"/>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Unit Agreement</w:t>
            </w:r>
          </w:p>
        </w:tc>
      </w:tr>
      <w:tr>
        <w:trPr>
          <w:trHeight w:val="283"/>
        </w:trPr>
        <w:tc>
          <w:tcPr>
            <w:tcW w:w="720" w:type="dxa"/>
            <w:vAlign w:val="bottom"/>
          </w:tcPr>
          <w:p>
            <w:pPr>
              <w:ind w:left="18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Opinion of Wilmer Cutler Pickering Hale and Dorr LLP</w:t>
              </w:r>
            </w:hyperlink>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Consent of Deloitte &amp; Touche LLP, independent registered public accounting firm for the Registrant</w:t>
              </w:r>
            </w:hyperlink>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58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3"/>
              </w:rPr>
            </w:pPr>
            <w:hyperlink w:anchor="page217">
              <w:r>
                <w:rPr>
                  <w:rFonts w:ascii="Arial" w:cs="Arial" w:eastAsia="Arial" w:hAnsi="Arial"/>
                  <w:sz w:val="18"/>
                  <w:szCs w:val="18"/>
                  <w:color w:val="0000EE"/>
                  <w:w w:val="93"/>
                </w:rPr>
                <w:t>Consent of Wilmer Cutler Pickering Hale and Dorr LLP (included in Exhibit 5.1)</w:t>
              </w:r>
            </w:hyperlink>
          </w:p>
        </w:tc>
        <w:tc>
          <w:tcPr>
            <w:tcW w:w="1360" w:type="dxa"/>
            <w:vAlign w:val="bottom"/>
            <w:tcBorders>
              <w:top w:val="single" w:sz="8" w:color="0000EE"/>
            </w:tcBorders>
          </w:tcPr>
          <w:p>
            <w:pPr>
              <w:spacing w:after="0"/>
              <w:rPr>
                <w:sz w:val="24"/>
                <w:szCs w:val="24"/>
                <w:color w:val="auto"/>
              </w:rPr>
            </w:pPr>
          </w:p>
        </w:tc>
        <w:tc>
          <w:tcPr>
            <w:tcW w:w="2700" w:type="dxa"/>
            <w:vAlign w:val="bottom"/>
            <w:gridSpan w:val="6"/>
          </w:tcPr>
          <w:p>
            <w:pPr>
              <w:spacing w:after="0"/>
              <w:rPr>
                <w:sz w:val="24"/>
                <w:szCs w:val="24"/>
                <w:color w:val="auto"/>
              </w:rPr>
            </w:pPr>
          </w:p>
        </w:tc>
      </w:tr>
    </w:tbl>
    <w:p>
      <w:pPr>
        <w:spacing w:after="0" w:line="121" w:lineRule="exact"/>
        <w:rPr>
          <w:sz w:val="20"/>
          <w:szCs w:val="20"/>
          <w:color w:val="auto"/>
        </w:rPr>
      </w:pPr>
    </w:p>
    <w:p>
      <w:pPr>
        <w:ind w:left="1220" w:hanging="1014"/>
        <w:spacing w:after="0"/>
        <w:tabs>
          <w:tab w:leader="none" w:pos="1220" w:val="left"/>
        </w:tabs>
        <w:numPr>
          <w:ilvl w:val="0"/>
          <w:numId w:val="38"/>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Powers of Attorney (included in the signature pages to the Registration Statement)</w:t>
        </w:r>
      </w:hyperlink>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97"/>
              </w:rPr>
              <w:t>25.1**</w:t>
            </w:r>
          </w:p>
        </w:tc>
        <w:tc>
          <w:tcPr>
            <w:tcW w:w="10160" w:type="dxa"/>
            <w:vAlign w:val="bottom"/>
          </w:tcPr>
          <w:p>
            <w:pPr>
              <w:ind w:left="260"/>
              <w:spacing w:after="0"/>
              <w:rPr>
                <w:sz w:val="20"/>
                <w:szCs w:val="20"/>
                <w:color w:val="auto"/>
              </w:rPr>
            </w:pPr>
            <w:r>
              <w:rPr>
                <w:rFonts w:ascii="Arial" w:cs="Arial" w:eastAsia="Arial" w:hAnsi="Arial"/>
                <w:sz w:val="18"/>
                <w:szCs w:val="18"/>
                <w:color w:val="auto"/>
                <w:w w:val="95"/>
              </w:rPr>
              <w:t>Statement of Eligibility on Form T-1 under the Trust Indenture Act of 1939, as amended, of the Trustee under the Senior Indenture</w:t>
            </w:r>
          </w:p>
        </w:tc>
      </w:tr>
      <w:tr>
        <w:trPr>
          <w:trHeight w:val="324"/>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97"/>
              </w:rPr>
              <w:t>25.2**</w:t>
            </w:r>
          </w:p>
        </w:tc>
        <w:tc>
          <w:tcPr>
            <w:tcW w:w="10160" w:type="dxa"/>
            <w:vAlign w:val="bottom"/>
          </w:tcPr>
          <w:p>
            <w:pPr>
              <w:ind w:left="260"/>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under the Subordinated Indenture</w:t>
            </w:r>
          </w:p>
        </w:tc>
      </w:tr>
    </w:tbl>
    <w:p>
      <w:pPr>
        <w:spacing w:after="0" w:line="94" w:lineRule="exact"/>
        <w:rPr>
          <w:sz w:val="20"/>
          <w:szCs w:val="20"/>
          <w:color w:val="auto"/>
        </w:rPr>
      </w:pPr>
    </w:p>
    <w:p>
      <w:pPr>
        <w:ind w:left="1220" w:hanging="1104"/>
        <w:spacing w:after="0"/>
        <w:tabs>
          <w:tab w:leader="none" w:pos="1220" w:val="left"/>
        </w:tabs>
        <w:numPr>
          <w:ilvl w:val="0"/>
          <w:numId w:val="39"/>
        </w:numPr>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5480" w:right="5080" w:hanging="5364"/>
        <w:spacing w:after="0" w:line="517" w:lineRule="auto"/>
        <w:tabs>
          <w:tab w:leader="none" w:pos="5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be filed pursuant to Section 305(b)(2) of the Trust Indenture Act of 1939. II-3</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117" w:lineRule="exact"/>
        <w:rPr>
          <w:sz w:val="20"/>
          <w:szCs w:val="20"/>
          <w:color w:val="auto"/>
        </w:rPr>
      </w:pPr>
    </w:p>
    <w:p>
      <w:pPr>
        <w:ind w:left="1320" w:hanging="213"/>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17" w:lineRule="exact"/>
        <w:rPr>
          <w:rFonts w:ascii="Arial" w:cs="Arial" w:eastAsia="Arial" w:hAnsi="Arial"/>
          <w:sz w:val="18"/>
          <w:szCs w:val="18"/>
          <w:color w:val="auto"/>
        </w:rPr>
      </w:pPr>
    </w:p>
    <w:p>
      <w:pPr>
        <w:ind w:left="1100" w:right="80" w:firstLine="7"/>
        <w:spacing w:after="0" w:line="291" w:lineRule="auto"/>
        <w:tabs>
          <w:tab w:leader="none" w:pos="13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8" w:lineRule="exact"/>
        <w:rPr>
          <w:rFonts w:ascii="Arial" w:cs="Arial" w:eastAsia="Arial" w:hAnsi="Arial"/>
          <w:sz w:val="16"/>
          <w:szCs w:val="16"/>
          <w:color w:val="auto"/>
        </w:rPr>
      </w:pPr>
    </w:p>
    <w:p>
      <w:pPr>
        <w:ind w:left="1100" w:right="240" w:firstLine="7"/>
        <w:spacing w:after="0" w:line="277" w:lineRule="auto"/>
        <w:tabs>
          <w:tab w:leader="none" w:pos="14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79" w:lineRule="exact"/>
        <w:rPr>
          <w:sz w:val="20"/>
          <w:szCs w:val="20"/>
          <w:color w:val="auto"/>
        </w:rPr>
      </w:pPr>
    </w:p>
    <w:p>
      <w:pPr>
        <w:ind w:left="560" w:right="20" w:hanging="4"/>
        <w:spacing w:after="0" w:line="263"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560" w:right="600" w:hanging="4"/>
        <w:spacing w:after="0" w:line="277"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100" w:firstLine="7"/>
        <w:spacing w:after="0" w:line="277" w:lineRule="auto"/>
        <w:tabs>
          <w:tab w:leader="none" w:pos="13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firstLine="7"/>
        <w:spacing w:after="0" w:line="269" w:lineRule="auto"/>
        <w:tabs>
          <w:tab w:leader="none" w:pos="1365"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that was part of the registration statement or made in any such document immediately prior to such effective date.</w:t>
      </w:r>
    </w:p>
    <w:p>
      <w:pPr>
        <w:spacing w:after="0" w:line="117" w:lineRule="exact"/>
        <w:rPr>
          <w:sz w:val="20"/>
          <w:szCs w:val="20"/>
          <w:color w:val="auto"/>
        </w:rPr>
      </w:pPr>
    </w:p>
    <w:p>
      <w:pPr>
        <w:ind w:left="560" w:right="100" w:hanging="4"/>
        <w:spacing w:after="0" w:line="257"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1100" w:right="360" w:firstLine="7"/>
        <w:spacing w:after="0" w:line="277" w:lineRule="auto"/>
        <w:tabs>
          <w:tab w:leader="none" w:pos="13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100" w:firstLine="7"/>
        <w:spacing w:after="0" w:line="277" w:lineRule="auto"/>
        <w:tabs>
          <w:tab w:leader="none" w:pos="13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680" w:firstLine="7"/>
        <w:spacing w:after="0" w:line="277" w:lineRule="auto"/>
        <w:tabs>
          <w:tab w:leader="none" w:pos="14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17" w:lineRule="exact"/>
        <w:rPr>
          <w:rFonts w:ascii="Arial" w:cs="Arial" w:eastAsia="Arial" w:hAnsi="Arial"/>
          <w:sz w:val="18"/>
          <w:szCs w:val="18"/>
          <w:color w:val="auto"/>
        </w:rPr>
      </w:pPr>
    </w:p>
    <w:p>
      <w:pPr>
        <w:jc w:val="both"/>
        <w:ind w:left="1100" w:firstLine="7"/>
        <w:spacing w:after="0" w:line="263" w:lineRule="auto"/>
        <w:tabs>
          <w:tab w:leader="none" w:pos="13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75" w:lineRule="exact"/>
        <w:rPr>
          <w:rFonts w:ascii="Arial" w:cs="Arial" w:eastAsia="Arial" w:hAnsi="Arial"/>
          <w:sz w:val="18"/>
          <w:szCs w:val="18"/>
          <w:color w:val="auto"/>
        </w:rPr>
      </w:pPr>
    </w:p>
    <w:p>
      <w:pPr>
        <w:ind w:left="1100" w:right="320" w:firstLine="7"/>
        <w:spacing w:after="0" w:line="342" w:lineRule="auto"/>
        <w:tabs>
          <w:tab w:leader="none" w:pos="1365"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 w:lineRule="exact"/>
        <w:rPr>
          <w:sz w:val="20"/>
          <w:szCs w:val="20"/>
          <w:color w:val="auto"/>
        </w:rPr>
      </w:pPr>
    </w:p>
    <w:p>
      <w:pPr>
        <w:ind w:left="560" w:right="20" w:hanging="4"/>
        <w:spacing w:after="0" w:line="257" w:lineRule="auto"/>
        <w:tabs>
          <w:tab w:leader="none" w:pos="8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sz w:val="20"/>
          <w:szCs w:val="20"/>
          <w:color w:val="auto"/>
        </w:rPr>
      </w:pPr>
    </w:p>
    <w:p>
      <w:pPr>
        <w:ind w:left="560" w:right="80" w:hanging="4"/>
        <w:spacing w:after="0" w:line="271" w:lineRule="auto"/>
        <w:tabs>
          <w:tab w:leader="none" w:pos="8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sz w:val="20"/>
          <w:szCs w:val="20"/>
          <w:color w:val="auto"/>
        </w:rPr>
      </w:pPr>
    </w:p>
    <w:p>
      <w:pPr>
        <w:jc w:val="center"/>
        <w:ind w:left="560" w:right="140" w:hanging="4"/>
        <w:spacing w:after="0" w:line="291" w:lineRule="auto"/>
        <w:tabs>
          <w:tab w:leader="none" w:pos="7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560"/>
        <w:spacing w:after="0"/>
        <w:rPr>
          <w:rFonts w:ascii="Arial" w:cs="Arial" w:eastAsia="Arial" w:hAnsi="Arial"/>
          <w:sz w:val="16"/>
          <w:szCs w:val="16"/>
          <w:color w:val="auto"/>
        </w:rPr>
      </w:pPr>
      <w:r>
        <w:rPr>
          <w:rFonts w:ascii="Arial" w:cs="Arial" w:eastAsia="Arial" w:hAnsi="Arial"/>
          <w:sz w:val="18"/>
          <w:szCs w:val="18"/>
          <w:color w:val="auto"/>
        </w:rPr>
        <w:t>(2) of the Trust Indenture 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May 10, 2022.</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WEREWOLF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Daniel J. Hicklin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Daniel J. Hicklin,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00"/>
          </w:cols>
          <w:pgMar w:left="320" w:top="459"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the undersigned officers and directors of Werewolf Therapeutics, Inc. hereby severally constitute and appoint Daniel J. Hicklin, Ph.D. and Timothy W. Trost,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Werewolf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Hicklin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Daniel J. Hicklin, Ph.D.</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Executive 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W. Trost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 (Principal Financial</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Timothy W. Trost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and Accounting 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Evnin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Luke Evnin,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Meeta Chatterjee</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Meeta Chatterjee,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DiRocco</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Derek DiRocco,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Alon Lazarus</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Alon Lazarus,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Briggs W. Morrison, M.D.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Sherman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May 10, 2022</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Michael Sherman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WEREWOLF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($0.0001 par value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May 10,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Werewolf Therapeutics,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SVB Securities LLC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166" w:lineRule="exact"/>
        <w:rPr>
          <w:sz w:val="20"/>
          <w:szCs w:val="20"/>
          <w:color w:val="auto"/>
        </w:rPr>
      </w:pPr>
    </w:p>
    <w:p>
      <w:pPr>
        <w:ind w:right="60" w:firstLine="436"/>
        <w:spacing w:after="0" w:line="253"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Issuance and Sale of Shares</w:t>
      </w:r>
      <w:r>
        <w:rPr>
          <w:rFonts w:ascii="Arial" w:cs="Arial" w:eastAsia="Arial" w:hAnsi="Arial"/>
          <w:sz w:val="18"/>
          <w:szCs w:val="18"/>
          <w:color w:val="auto"/>
        </w:rPr>
        <w:t>. The Company agrees that, from time to time during the term of this Agreement, on the terms and subject to the conditions set forth herein, it may issue and sell through the Agent of shares of common stock, $0.0001 par value per share, of the Company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subject to the limitations set forth in Section 5(c) (the “</w:t>
      </w:r>
      <w:r>
        <w:rPr>
          <w:rFonts w:ascii="Arial" w:cs="Arial" w:eastAsia="Arial" w:hAnsi="Arial"/>
          <w:sz w:val="18"/>
          <w:szCs w:val="18"/>
          <w:b w:val="1"/>
          <w:bCs w:val="1"/>
          <w:u w:val="single" w:color="auto"/>
          <w:color w:val="auto"/>
        </w:rPr>
        <w:t>Placement Shares</w:t>
      </w:r>
      <w:r>
        <w:rPr>
          <w:rFonts w:ascii="Arial" w:cs="Arial" w:eastAsia="Arial" w:hAnsi="Arial"/>
          <w:sz w:val="18"/>
          <w:szCs w:val="18"/>
          <w:color w:val="auto"/>
        </w:rPr>
        <w:t>”). Notwithstanding anything to the contrary contained herein, the parties hereto agree that compliance with the limitation set forth in Section 5(c)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on or about May 10, 2022 and to be declared effective by the Commission, although nothing in this Agreement shall be construed as requiring the Company to issue any Placement Shares.</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has prepared and will file, in accordance with the provisions of the Securities Act of 1933, as amended, and the rules and regulations thereunder (collectively,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(b) a prospectus supplement specifically relating to the Placement Shares to be issued from time to time pursuant to this Agreement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w:t>
      </w:r>
    </w:p>
    <w:p>
      <w:pPr>
        <w:sectPr>
          <w:pgSz w:w="11900" w:h="16838" w:orient="portrait"/>
          <w:cols w:equalWidth="0" w:num="1">
            <w:col w:w="11020"/>
          </w:cols>
          <w:pgMar w:left="440" w:top="121" w:right="439" w:bottom="1440" w:gutter="0" w:footer="0" w:header="0"/>
        </w:sectPr>
      </w:pPr>
    </w:p>
    <w:bookmarkStart w:id="67" w:name="page68"/>
    <w:bookmarkEnd w:id="67"/>
    <w:p>
      <w:pPr>
        <w:jc w:val="both"/>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16"/>
          <w:szCs w:val="16"/>
          <w:b w:val="1"/>
          <w:bCs w:val="1"/>
          <w:u w:val="single" w:color="auto"/>
          <w:color w:val="auto"/>
        </w:rPr>
        <w:t>Rule 433</w:t>
      </w:r>
      <w:r>
        <w:rPr>
          <w:rFonts w:ascii="Arial" w:cs="Arial" w:eastAsia="Arial" w:hAnsi="Arial"/>
          <w:sz w:val="16"/>
          <w:szCs w:val="16"/>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w:t>
      </w:r>
    </w:p>
    <w:p>
      <w:pPr>
        <w:spacing w:after="0" w:line="16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7"/>
          <w:szCs w:val="17"/>
          <w:b w:val="1"/>
          <w:bCs w:val="1"/>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 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pacing w:after="0" w:line="181" w:lineRule="exact"/>
        <w:rPr>
          <w:sz w:val="20"/>
          <w:szCs w:val="20"/>
          <w:color w:val="auto"/>
        </w:rPr>
      </w:pPr>
    </w:p>
    <w:p>
      <w:pPr>
        <w:ind w:firstLine="436"/>
        <w:spacing w:after="0" w:line="285" w:lineRule="auto"/>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any Placement Shares through the Agent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the Agent by email notice (or other method mutually agreed to in writing by the parties) (each such notice,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must originate from one of the individuals authorized to act on behalf of the Company and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 Company listed on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and shall be addressed to each of the recipients from the Agent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may be updated by either party from time to time by sending a written notice containing a revised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to the other party in the manner provided in Section 12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color w:val="auto"/>
        </w:rPr>
        <w:t>. It is expressly acknowledged and agreed that neither the Company nor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8" w:name="page69"/>
    <w:bookmarkEnd w:id="68"/>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7" w:lineRule="exact"/>
        <w:rPr>
          <w:sz w:val="20"/>
          <w:szCs w:val="20"/>
          <w:color w:val="auto"/>
        </w:rPr>
      </w:pPr>
    </w:p>
    <w:p>
      <w:pPr>
        <w:ind w:left="4" w:firstLine="436"/>
        <w:spacing w:after="0" w:line="282" w:lineRule="auto"/>
        <w:tabs>
          <w:tab w:leader="none" w:pos="62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the Agent</w:t>
      </w:r>
      <w:r>
        <w:rPr>
          <w:rFonts w:ascii="Arial" w:cs="Arial" w:eastAsia="Arial" w:hAnsi="Arial"/>
          <w:sz w:val="16"/>
          <w:szCs w:val="16"/>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415(a)(4)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Notwithstanding the provisions of Section 6(xx),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10" w:lineRule="exact"/>
        <w:rPr>
          <w:rFonts w:ascii="Arial" w:cs="Arial" w:eastAsia="Arial" w:hAnsi="Arial"/>
          <w:sz w:val="16"/>
          <w:szCs w:val="16"/>
          <w:color w:val="auto"/>
        </w:rPr>
      </w:pPr>
    </w:p>
    <w:p>
      <w:pPr>
        <w:ind w:left="4" w:right="100" w:hanging="4"/>
        <w:spacing w:after="0" w:line="255" w:lineRule="auto"/>
        <w:tabs>
          <w:tab w:leader="none" w:pos="3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the Common Stock is purchased and sold on Nasdaq.</w:t>
      </w:r>
    </w:p>
    <w:p>
      <w:pPr>
        <w:spacing w:after="0" w:line="189" w:lineRule="exact"/>
        <w:rPr>
          <w:rFonts w:ascii="Arial" w:cs="Arial" w:eastAsia="Arial" w:hAnsi="Arial"/>
          <w:sz w:val="18"/>
          <w:szCs w:val="18"/>
          <w:color w:val="auto"/>
        </w:rPr>
      </w:pPr>
    </w:p>
    <w:p>
      <w:pPr>
        <w:ind w:left="624" w:hanging="184"/>
        <w:spacing w:after="0"/>
        <w:tabs>
          <w:tab w:leader="none" w:pos="62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54" w:lineRule="auto"/>
        <w:tabs>
          <w:tab w:leader="none" w:pos="6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suspend any sale of Placement Shares;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suspension shall not affect or impair either party’s obligations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Placement Shares sold hereunder prior to the receipt of such notice. While a suspension is in effect, any obligations under Sections 7(l), 7(m) and 7(n) of this Agreement with respect to the delivery of certificates, opinion or comfort letters to the Agent shall be waived. Each of the parties agrees that no such notice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9" w:name="page70"/>
    <w:bookmarkEnd w:id="69"/>
    <w:p>
      <w:pPr>
        <w:ind w:left="4" w:right="3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this Section 4 shall be effective against the other party unless notice is sent by one of the individuals named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hereto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if receipt of such correspondence is actually acknowledged by any of the individuals to whom the notice is sent, other than via auto-reply).</w:t>
      </w:r>
    </w:p>
    <w:p>
      <w:pPr>
        <w:spacing w:after="0" w:line="54" w:lineRule="exact"/>
        <w:rPr>
          <w:sz w:val="20"/>
          <w:szCs w:val="20"/>
          <w:color w:val="auto"/>
        </w:rPr>
      </w:pPr>
    </w:p>
    <w:p>
      <w:pPr>
        <w:ind w:left="4" w:right="160" w:firstLine="436"/>
        <w:spacing w:after="0" w:line="259" w:lineRule="auto"/>
        <w:tabs>
          <w:tab w:leader="none" w:pos="6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7" w:lineRule="exact"/>
        <w:rPr>
          <w:sz w:val="20"/>
          <w:szCs w:val="20"/>
          <w:color w:val="auto"/>
        </w:rPr>
      </w:pPr>
    </w:p>
    <w:p>
      <w:pPr>
        <w:ind w:left="624" w:hanging="184"/>
        <w:spacing w:after="0"/>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Settlement and Delivery of the Placement Shares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will be equal to the aggregate gross sales price received by the Agent at which such Placement Shares were sold, after deduction of (i) the Agent’s commission, discount or other compensation for such sales payable by the Company pursuant to Section 2 hereof,</w:t>
      </w:r>
    </w:p>
    <w:p>
      <w:pPr>
        <w:spacing w:after="0" w:line="1" w:lineRule="exact"/>
        <w:rPr>
          <w:rFonts w:ascii="Arial" w:cs="Arial" w:eastAsia="Arial" w:hAnsi="Arial"/>
          <w:sz w:val="16"/>
          <w:szCs w:val="16"/>
          <w:color w:val="auto"/>
        </w:rPr>
      </w:pPr>
    </w:p>
    <w:p>
      <w:pPr>
        <w:ind w:left="4" w:hanging="4"/>
        <w:spacing w:after="0" w:line="260" w:lineRule="auto"/>
        <w:tabs>
          <w:tab w:leader="none" w:pos="2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amounts due and payable by the Company to the Agent hereunder pursuant to Section 7(g) hereof and (iii) any transaction fees imposed by any governmental or self-regulatory organization in respect of such sales.</w:t>
      </w:r>
    </w:p>
    <w:p>
      <w:pPr>
        <w:spacing w:after="0" w:line="77" w:lineRule="exact"/>
        <w:rPr>
          <w:rFonts w:ascii="Arial" w:cs="Arial" w:eastAsia="Arial" w:hAnsi="Arial"/>
          <w:sz w:val="18"/>
          <w:szCs w:val="18"/>
          <w:color w:val="auto"/>
        </w:rPr>
      </w:pPr>
    </w:p>
    <w:p>
      <w:pPr>
        <w:ind w:left="4" w:firstLine="436"/>
        <w:spacing w:after="0" w:line="284" w:lineRule="auto"/>
        <w:tabs>
          <w:tab w:leader="none" w:pos="699"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or by such other means of delivery as may be mutually agreed upon by the parties hereto, which in all cases shall be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reasonable, documented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70" w:name="page71"/>
    <w:bookmarkEnd w:id="70"/>
    <w:p>
      <w:pPr>
        <w:ind w:left="4" w:firstLine="436"/>
        <w:spacing w:after="0" w:line="268" w:lineRule="auto"/>
        <w:tabs>
          <w:tab w:leader="none" w:pos="68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Offering Size</w:t>
      </w:r>
      <w:r>
        <w:rPr>
          <w:rFonts w:ascii="Arial" w:cs="Arial" w:eastAsia="Arial" w:hAnsi="Arial"/>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number or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2" w:lineRule="exact"/>
        <w:rPr>
          <w:sz w:val="20"/>
          <w:szCs w:val="20"/>
          <w:color w:val="auto"/>
        </w:rPr>
      </w:pPr>
    </w:p>
    <w:p>
      <w:pPr>
        <w:ind w:left="4" w:right="40" w:firstLine="436"/>
        <w:spacing w:after="0" w:line="287" w:lineRule="auto"/>
        <w:tabs>
          <w:tab w:leader="none" w:pos="624"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(iv), an “</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unless such representation, warranty or agreement specifies a different date or time:</w:t>
      </w:r>
    </w:p>
    <w:p>
      <w:pPr>
        <w:spacing w:after="0" w:line="99" w:lineRule="exact"/>
        <w:rPr>
          <w:sz w:val="20"/>
          <w:szCs w:val="20"/>
          <w:color w:val="auto"/>
        </w:rPr>
      </w:pPr>
    </w:p>
    <w:p>
      <w:pPr>
        <w:ind w:left="4" w:right="20" w:firstLine="436"/>
        <w:spacing w:after="0" w:line="268" w:lineRule="auto"/>
        <w:tabs>
          <w:tab w:leader="none" w:pos="699"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the transactions contemplated by this Agreement meet the requirements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comply with the conditions for the use of Form S-3 (including General Instructions I.A and I.B.1.) under the Securities Act. The Registration Statement has been filed or will be filed with the Commission and has been or will be declared effective by the Commission under the Securities Act prior to the issuance of any Placement Notices by the Company. At the time the Registration Statement originally became effective and, after the date hereof, at the time the Company’s most recent Annual Report on Form 10-K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to the knowledge of the Company, or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71" w:name="page72"/>
    <w:bookmarkEnd w:id="7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72" w:lineRule="exact"/>
        <w:rPr>
          <w:sz w:val="20"/>
          <w:szCs w:val="20"/>
          <w:color w:val="auto"/>
        </w:rPr>
      </w:pPr>
    </w:p>
    <w:p>
      <w:pPr>
        <w:ind w:firstLine="436"/>
        <w:spacing w:after="0" w:line="285" w:lineRule="auto"/>
        <w:tabs>
          <w:tab w:leader="none" w:pos="70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Misstatement or Omission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Registration Statement and any post-effective amendment thereto, at the time it became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59" w:lineRule="exact"/>
        <w:rPr>
          <w:rFonts w:ascii="Arial" w:cs="Arial" w:eastAsia="Arial" w:hAnsi="Arial"/>
          <w:sz w:val="16"/>
          <w:szCs w:val="16"/>
          <w:b w:val="1"/>
          <w:bCs w:val="1"/>
          <w:color w:val="auto"/>
        </w:rPr>
      </w:pPr>
    </w:p>
    <w:p>
      <w:pPr>
        <w:ind w:right="40" w:firstLine="436"/>
        <w:spacing w:after="0" w:line="259" w:lineRule="auto"/>
        <w:tabs>
          <w:tab w:leader="none" w:pos="68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Ineligible Issuer Status. </w:t>
      </w:r>
      <w:r>
        <w:rPr>
          <w:rFonts w:ascii="Arial" w:cs="Arial" w:eastAsia="Arial" w:hAnsi="Arial"/>
          <w:sz w:val="18"/>
          <w:szCs w:val="18"/>
          <w:color w:val="auto"/>
        </w:rPr>
        <w:t>At the time of filing the Registration Statement and (ii) at the time of the execution of this Agreement (with such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78" w:lineRule="exact"/>
        <w:rPr>
          <w:rFonts w:ascii="Arial" w:cs="Arial" w:eastAsia="Arial" w:hAnsi="Arial"/>
          <w:sz w:val="18"/>
          <w:szCs w:val="18"/>
          <w:b w:val="1"/>
          <w:bCs w:val="1"/>
          <w:color w:val="auto"/>
        </w:rPr>
      </w:pPr>
    </w:p>
    <w:p>
      <w:pPr>
        <w:ind w:right="60" w:firstLine="436"/>
        <w:spacing w:after="0" w:line="257" w:lineRule="auto"/>
        <w:tabs>
          <w:tab w:leader="none" w:pos="70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Writing Prospectus. </w:t>
      </w:r>
      <w:r>
        <w:rPr>
          <w:rFonts w:ascii="Arial" w:cs="Arial" w:eastAsia="Arial" w:hAnsi="Arial"/>
          <w:sz w:val="18"/>
          <w:szCs w:val="18"/>
          <w:color w:val="auto"/>
        </w:rPr>
        <w:t>Each issuer free writing prospectus, as of its issue date and as of each Applicable Time, did not, does not and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2" w:name="page73"/>
    <w:bookmarkEnd w:id="72"/>
    <w:p>
      <w:pPr>
        <w:ind w:left="4" w:firstLine="436"/>
        <w:spacing w:after="0" w:line="259" w:lineRule="auto"/>
        <w:tabs>
          <w:tab w:leader="none" w:pos="689"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of Offering Material By the Company. </w:t>
      </w:r>
      <w:r>
        <w:rPr>
          <w:rFonts w:ascii="Arial" w:cs="Arial" w:eastAsia="Arial" w:hAnsi="Arial"/>
          <w:sz w:val="18"/>
          <w:szCs w:val="18"/>
          <w:color w:val="auto"/>
        </w:rPr>
        <w:t>The Company has not distributed and, prior to the later to occur of each Settlement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74" w:lineRule="exact"/>
        <w:rPr>
          <w:rFonts w:ascii="Arial" w:cs="Arial" w:eastAsia="Arial" w:hAnsi="Arial"/>
          <w:sz w:val="18"/>
          <w:szCs w:val="18"/>
          <w:b w:val="1"/>
          <w:bCs w:val="1"/>
          <w:color w:val="auto"/>
        </w:rPr>
      </w:pPr>
    </w:p>
    <w:p>
      <w:pPr>
        <w:ind w:left="4" w:right="60" w:firstLine="436"/>
        <w:spacing w:after="0" w:line="258" w:lineRule="auto"/>
        <w:tabs>
          <w:tab w:leader="none" w:pos="669"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 and constitutes a valid and legally binding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of the Company, enforceable against the Company in accordance with its terms, except as rights to indemnity hereunder may be limited by federal or state securities laws and except as such enforceability, including rights of indemnification, may be limited by bankruptcy, insolvency, fraudulent conveyance, reorganization, moratorium and other similar laws relating to or affecting creditors’ rights generally and by general principles of equity.</w:t>
      </w:r>
    </w:p>
    <w:p>
      <w:pPr>
        <w:spacing w:after="0" w:line="75" w:lineRule="exact"/>
        <w:rPr>
          <w:rFonts w:ascii="Arial" w:cs="Arial" w:eastAsia="Arial" w:hAnsi="Arial"/>
          <w:sz w:val="18"/>
          <w:szCs w:val="18"/>
          <w:b w:val="1"/>
          <w:bCs w:val="1"/>
          <w:color w:val="auto"/>
        </w:rPr>
      </w:pPr>
    </w:p>
    <w:p>
      <w:pPr>
        <w:ind w:left="4" w:right="40" w:firstLine="436"/>
        <w:spacing w:after="0" w:line="288" w:lineRule="auto"/>
        <w:tabs>
          <w:tab w:leader="none" w:pos="699"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Placement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Placement Shares have been duly authorized for issuance and sale pursuant to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59" w:lineRule="exact"/>
        <w:rPr>
          <w:rFonts w:ascii="Arial" w:cs="Arial" w:eastAsia="Arial" w:hAnsi="Arial"/>
          <w:sz w:val="16"/>
          <w:szCs w:val="16"/>
          <w:b w:val="1"/>
          <w:bCs w:val="1"/>
          <w:color w:val="auto"/>
        </w:rPr>
      </w:pPr>
    </w:p>
    <w:p>
      <w:pPr>
        <w:ind w:left="4" w:right="60" w:firstLine="436"/>
        <w:spacing w:after="0" w:line="263" w:lineRule="auto"/>
        <w:tabs>
          <w:tab w:leader="none" w:pos="709"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Applicable Registration or Other Similar Rights.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71" w:lineRule="exact"/>
        <w:rPr>
          <w:rFonts w:ascii="Arial" w:cs="Arial" w:eastAsia="Arial" w:hAnsi="Arial"/>
          <w:sz w:val="18"/>
          <w:szCs w:val="18"/>
          <w:b w:val="1"/>
          <w:bCs w:val="1"/>
          <w:color w:val="auto"/>
        </w:rPr>
      </w:pPr>
    </w:p>
    <w:p>
      <w:pPr>
        <w:ind w:left="4" w:right="280" w:firstLine="436"/>
        <w:spacing w:after="0" w:line="286" w:lineRule="auto"/>
        <w:tabs>
          <w:tab w:leader="none" w:pos="659"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and the Prospectus, subsequent to the respective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dates as of which information is given in the Registration Statement and the Prospectus: (i) there has been no material adverse change, or any development that would reasonably be expected to result in a material adverse change, in the condition, financial or otherwise, or in the earnings, business, properties, operations, operating results, assets, liabilities or prospects</w:t>
      </w:r>
      <w:r>
        <w:rPr>
          <w:rFonts w:ascii="Arial" w:cs="Arial" w:eastAsia="Arial" w:hAnsi="Arial"/>
          <w:sz w:val="16"/>
          <w:szCs w:val="16"/>
          <w:b w:val="1"/>
          <w:bCs w:val="1"/>
          <w:color w:val="auto"/>
        </w:rPr>
        <w:t>,</w:t>
      </w:r>
      <w:r>
        <w:rPr>
          <w:rFonts w:ascii="Arial" w:cs="Arial" w:eastAsia="Arial" w:hAnsi="Arial"/>
          <w:sz w:val="16"/>
          <w:szCs w:val="16"/>
          <w:color w:val="auto"/>
        </w:rPr>
        <w:t xml:space="preserve">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u w:val="single" w:color="auto"/>
          <w:color w:val="auto"/>
        </w:rPr>
        <w:t>Material Adverse Change</w:t>
      </w:r>
      <w:r>
        <w:rPr>
          <w:rFonts w:ascii="Arial" w:cs="Arial" w:eastAsia="Arial" w:hAnsi="Arial"/>
          <w:sz w:val="16"/>
          <w:szCs w:val="16"/>
          <w:color w:val="auto"/>
        </w:rPr>
        <w:t>”);</w:t>
      </w:r>
    </w:p>
    <w:p>
      <w:pPr>
        <w:spacing w:after="0" w:line="2" w:lineRule="exact"/>
        <w:rPr>
          <w:rFonts w:ascii="Arial" w:cs="Arial" w:eastAsia="Arial" w:hAnsi="Arial"/>
          <w:sz w:val="16"/>
          <w:szCs w:val="16"/>
          <w:b w:val="1"/>
          <w:bCs w:val="1"/>
          <w:color w:val="auto"/>
        </w:rPr>
      </w:pPr>
    </w:p>
    <w:p>
      <w:pPr>
        <w:ind w:left="4" w:right="20" w:hanging="4"/>
        <w:spacing w:after="0" w:line="268" w:lineRule="auto"/>
        <w:tabs>
          <w:tab w:leader="none" w:pos="2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73" w:name="page74"/>
    <w:bookmarkEnd w:id="73"/>
    <w:p>
      <w:pPr>
        <w:ind w:right="120" w:firstLine="436"/>
        <w:spacing w:after="0" w:line="274" w:lineRule="auto"/>
        <w:tabs>
          <w:tab w:leader="none" w:pos="665"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Deloitte &amp; Touche LLP, which has expressed its opinion with respect to the financial statements (which term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this Agreement includes the related notes thereto) filed with the Commission as a part of or incorporated by reference in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u w:val="single" w:color="auto"/>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5" w:lineRule="exact"/>
        <w:rPr>
          <w:rFonts w:ascii="Arial" w:cs="Arial" w:eastAsia="Arial" w:hAnsi="Arial"/>
          <w:sz w:val="17"/>
          <w:szCs w:val="17"/>
          <w:b w:val="1"/>
          <w:bCs w:val="1"/>
          <w:color w:val="auto"/>
        </w:rPr>
      </w:pPr>
    </w:p>
    <w:p>
      <w:pPr>
        <w:ind w:right="20" w:firstLine="436"/>
        <w:spacing w:after="0" w:line="272" w:lineRule="auto"/>
        <w:tabs>
          <w:tab w:leader="none" w:pos="705"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Financial Statements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financial statements filed with the Commission as a part of or incorporated by reference in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or incorporated by reference in the Registration Statement and the Prospectus.</w:t>
      </w:r>
    </w:p>
    <w:p>
      <w:pPr>
        <w:spacing w:after="0" w:line="63" w:lineRule="exact"/>
        <w:rPr>
          <w:rFonts w:ascii="Arial" w:cs="Arial" w:eastAsia="Arial" w:hAnsi="Arial"/>
          <w:sz w:val="17"/>
          <w:szCs w:val="17"/>
          <w:b w:val="1"/>
          <w:bCs w:val="1"/>
          <w:color w:val="auto"/>
        </w:rPr>
      </w:pPr>
    </w:p>
    <w:p>
      <w:pPr>
        <w:ind w:firstLine="436"/>
        <w:spacing w:after="0" w:line="274" w:lineRule="auto"/>
        <w:tabs>
          <w:tab w:leader="none" w:pos="655"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Company’s Accounting 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each of its subsidiaries make and keep books and records that are accurate in all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5" w:lineRule="exact"/>
        <w:rPr>
          <w:rFonts w:ascii="Arial" w:cs="Arial" w:eastAsia="Arial" w:hAnsi="Arial"/>
          <w:sz w:val="17"/>
          <w:szCs w:val="17"/>
          <w:b w:val="1"/>
          <w:bCs w:val="1"/>
          <w:color w:val="auto"/>
        </w:rPr>
      </w:pPr>
    </w:p>
    <w:p>
      <w:pPr>
        <w:ind w:right="20" w:firstLine="436"/>
        <w:spacing w:after="0" w:line="286" w:lineRule="auto"/>
        <w:tabs>
          <w:tab w:leader="none" w:pos="75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(it being understood that neither subsection (k) nor this subsection (l) requires the Company to comply with</w:t>
      </w:r>
    </w:p>
    <w:p>
      <w:pPr>
        <w:spacing w:after="0" w:line="2" w:lineRule="exact"/>
        <w:rPr>
          <w:rFonts w:ascii="Arial" w:cs="Arial" w:eastAsia="Arial" w:hAnsi="Arial"/>
          <w:sz w:val="16"/>
          <w:szCs w:val="16"/>
          <w:b w:val="1"/>
          <w:bCs w:val="1"/>
          <w:color w:val="auto"/>
        </w:rPr>
      </w:pPr>
    </w:p>
    <w:p>
      <w:pPr>
        <w:ind w:right="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404 of the Sarbanes-Oxley Act of 2002 as of an earlier date than it would otherwise be required to so comply under applicable law); (ii) have been evaluated by management of the Company for effectiveness as of the end of the Company’s most recent fiscal quarter; (iii) are effective in all material respects to perform the functions for which they were established. Except as described in the Registration Statement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74" w:name="page75"/>
    <w:bookmarkEnd w:id="74"/>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2" w:lineRule="exact"/>
        <w:rPr>
          <w:sz w:val="20"/>
          <w:szCs w:val="20"/>
          <w:color w:val="auto"/>
        </w:rPr>
      </w:pPr>
    </w:p>
    <w:p>
      <w:pPr>
        <w:ind w:right="40" w:firstLine="436"/>
        <w:spacing w:after="0" w:line="255" w:lineRule="auto"/>
        <w:tabs>
          <w:tab w:leader="none" w:pos="7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incorporated and is validly existing as a corporation in good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a failure to be so qualified or in good standing would not reasonably be expected, individually or in the aggregate, to result in a Material Adverse Change.</w:t>
      </w:r>
    </w:p>
    <w:p>
      <w:pPr>
        <w:spacing w:after="0" w:line="80" w:lineRule="exact"/>
        <w:rPr>
          <w:rFonts w:ascii="Arial" w:cs="Arial" w:eastAsia="Arial" w:hAnsi="Arial"/>
          <w:sz w:val="18"/>
          <w:szCs w:val="18"/>
          <w:b w:val="1"/>
          <w:bCs w:val="1"/>
          <w:color w:val="auto"/>
        </w:rPr>
      </w:pPr>
    </w:p>
    <w:p>
      <w:pPr>
        <w:ind w:firstLine="436"/>
        <w:spacing w:after="0" w:line="286" w:lineRule="auto"/>
        <w:tabs>
          <w:tab w:leader="none" w:pos="69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this Agreement, as defined in Rule 405 under the Securities Act)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except where the failure to be in good standing would not reasonably be expected, individually or in the aggregate,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filed with the Commission.</w:t>
      </w:r>
    </w:p>
    <w:p>
      <w:pPr>
        <w:spacing w:after="0" w:line="59" w:lineRule="exact"/>
        <w:rPr>
          <w:rFonts w:ascii="Arial" w:cs="Arial" w:eastAsia="Arial" w:hAnsi="Arial"/>
          <w:sz w:val="16"/>
          <w:szCs w:val="16"/>
          <w:b w:val="1"/>
          <w:bCs w:val="1"/>
          <w:color w:val="auto"/>
        </w:rPr>
      </w:pPr>
    </w:p>
    <w:p>
      <w:pPr>
        <w:ind w:right="60" w:firstLine="436"/>
        <w:spacing w:after="0" w:line="253" w:lineRule="auto"/>
        <w:tabs>
          <w:tab w:leader="none" w:pos="7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Capitalization and Other Capital Stock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authorized, issued and outstanding capital stock of the Company is as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and the Prospectus under the caption “Capitalization” (subject, in each case, to the issuance of Placement Shares under this Agreement, the issuance of shares of Common Stock, if any, pursuant to employee benefit plans, or upon the exercise of outstanding options or warrants, in each case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shares of Common Stock have been duly authorized and validly issued, are fully paid and nonassessable and have been issued in compliance with all applicable federal and state securities laws. None of the outstanding shares of capital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75" w:name="page76"/>
    <w:bookmarkEnd w:id="7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75" w:lineRule="exact"/>
        <w:rPr>
          <w:sz w:val="20"/>
          <w:szCs w:val="20"/>
          <w:color w:val="auto"/>
        </w:rPr>
      </w:pPr>
    </w:p>
    <w:p>
      <w:pPr>
        <w:ind w:right="140" w:firstLine="436"/>
        <w:spacing w:after="0" w:line="274" w:lineRule="auto"/>
        <w:tabs>
          <w:tab w:leader="none" w:pos="705"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 Exchange 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subject to and in compliance in all material respects with the reporting requirements of Section 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Section 15(d) of the Exchange Act. The Common Stock is registered pursuant to Section 12(b)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or will file a Notification of Listing of Additional Shares with Nasdaq with respect to the Placement Shares.</w:t>
      </w:r>
    </w:p>
    <w:p>
      <w:pPr>
        <w:spacing w:after="0" w:line="65" w:lineRule="exact"/>
        <w:rPr>
          <w:rFonts w:ascii="Arial" w:cs="Arial" w:eastAsia="Arial" w:hAnsi="Arial"/>
          <w:sz w:val="17"/>
          <w:szCs w:val="17"/>
          <w:b w:val="1"/>
          <w:bCs w:val="1"/>
          <w:color w:val="auto"/>
        </w:rPr>
      </w:pPr>
    </w:p>
    <w:p>
      <w:pPr>
        <w:ind w:firstLine="436"/>
        <w:spacing w:after="0" w:line="284" w:lineRule="auto"/>
        <w:tabs>
          <w:tab w:leader="none" w:pos="68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u w:val="single" w:color="auto"/>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u w:val="single" w:color="auto"/>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Placement Shares (including the use of proceeds from the sale of the Placement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 (ii) and (iii) as would not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for (i) the registration of the Placement Shares under the Securities Act or (ii) as may be required under applicable state securities or blue sky laws or applicable rules, regulations and interpretations of the Financial Industry Regulatory Authority, Inc. (“</w:t>
      </w:r>
      <w:r>
        <w:rPr>
          <w:rFonts w:ascii="Arial" w:cs="Arial" w:eastAsia="Arial" w:hAnsi="Arial"/>
          <w:sz w:val="16"/>
          <w:szCs w:val="16"/>
          <w:b w:val="1"/>
          <w:bCs w:val="1"/>
          <w:u w:val="single" w:color="auto"/>
          <w:color w:val="auto"/>
        </w:rPr>
        <w:t>FINRA</w:t>
      </w:r>
      <w:r>
        <w:rPr>
          <w:rFonts w:ascii="Arial" w:cs="Arial" w:eastAsia="Arial" w:hAnsi="Arial"/>
          <w:sz w:val="16"/>
          <w:szCs w:val="16"/>
          <w:color w:val="auto"/>
        </w:rPr>
        <w:t>”) or (iii) in connection with the listing of the Placement Shares on Nasdaq and such authorizations (other than those set forth in clause (i)), the failure of which to obtain or make is not reasonably expected to result in a Material Adverse Change. As used herein, a “</w:t>
      </w:r>
      <w:r>
        <w:rPr>
          <w:rFonts w:ascii="Arial" w:cs="Arial" w:eastAsia="Arial" w:hAnsi="Arial"/>
          <w:sz w:val="16"/>
          <w:szCs w:val="16"/>
          <w:b w:val="1"/>
          <w:bCs w:val="1"/>
          <w:u w:val="single" w:color="auto"/>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6" w:name="page77"/>
    <w:bookmarkEnd w:id="76"/>
    <w:p>
      <w:pPr>
        <w:ind w:left="-20" w:right="160" w:firstLine="436"/>
        <w:spacing w:after="0" w:line="269" w:lineRule="auto"/>
        <w:tabs>
          <w:tab w:leader="none" w:pos="65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Laws. </w:t>
      </w:r>
      <w:r>
        <w:rPr>
          <w:rFonts w:ascii="Arial" w:cs="Arial" w:eastAsia="Arial" w:hAnsi="Arial"/>
          <w:sz w:val="17"/>
          <w:szCs w:val="17"/>
          <w:color w:val="auto"/>
        </w:rPr>
        <w:t>The Company and its subsidiaries (i) are in compliance, in all material respects, with any and all applicable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Arial" w:cs="Arial" w:eastAsia="Arial" w:hAnsi="Arial"/>
          <w:sz w:val="17"/>
          <w:szCs w:val="17"/>
          <w:b w:val="1"/>
          <w:bCs w:val="1"/>
          <w:u w:val="single" w:color="auto"/>
          <w:color w:val="auto"/>
        </w:rPr>
        <w:t>Occupational Laws</w:t>
      </w:r>
      <w:r>
        <w:rPr>
          <w:rFonts w:ascii="Arial" w:cs="Arial" w:eastAsia="Arial" w:hAnsi="Arial"/>
          <w:sz w:val="17"/>
          <w:szCs w:val="17"/>
          <w:color w:val="auto"/>
        </w:rPr>
        <w:t>”), except where failure to be so in compliance would not reasonably be expected, individually or in the aggregate, to result in a Material Adverse Change;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73" w:lineRule="exact"/>
        <w:rPr>
          <w:rFonts w:ascii="Arial" w:cs="Arial" w:eastAsia="Arial" w:hAnsi="Arial"/>
          <w:sz w:val="17"/>
          <w:szCs w:val="17"/>
          <w:b w:val="1"/>
          <w:bCs w:val="1"/>
          <w:color w:val="auto"/>
        </w:rPr>
      </w:pPr>
    </w:p>
    <w:p>
      <w:pPr>
        <w:ind w:left="-20" w:right="60" w:firstLine="436"/>
        <w:spacing w:after="0" w:line="256" w:lineRule="auto"/>
        <w:tabs>
          <w:tab w:leader="none" w:pos="64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legal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which would reasonably be expected, individually or in the aggregate, to result in a Material Adverse Change.</w:t>
      </w:r>
    </w:p>
    <w:p>
      <w:pPr>
        <w:spacing w:after="0" w:line="79" w:lineRule="exact"/>
        <w:rPr>
          <w:rFonts w:ascii="Arial" w:cs="Arial" w:eastAsia="Arial" w:hAnsi="Arial"/>
          <w:sz w:val="18"/>
          <w:szCs w:val="18"/>
          <w:b w:val="1"/>
          <w:bCs w:val="1"/>
          <w:color w:val="auto"/>
        </w:rPr>
      </w:pPr>
    </w:p>
    <w:p>
      <w:pPr>
        <w:ind w:left="-20" w:firstLine="436"/>
        <w:spacing w:after="0" w:line="268" w:lineRule="auto"/>
        <w:tabs>
          <w:tab w:leader="none" w:pos="68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Intellectual Property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own, or have obtained valid and enforceable licenses for, the inventions,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 applications, patents, trademarks, trade names, service names, copyrights, trade secrets and other intellectual property described in the Registration Statement and the Prospectus as being owned or licensed by them or, to the Company’s knowledge, which are necessary for the conduct of their respective businesses as currently conducted or as currently proposed to be conducted (collectively, “</w:t>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except where failure to own or possess such rights would not individually or in the aggregate result in a Material Adverse Change. To the Company’s knowledge, the conduct of the Company and its subsidiaries’ respective businesses, as disclosed in the Registration Statement and the Prospectus,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Except as otherwise disclosed in the Registration Statement and the Prospectus,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77" w:name="page78"/>
    <w:bookmarkEnd w:id="7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to the Company’s knowledge, all such agreements are in full force and effect. To the Company’s knowledge, there are no material defects in any of the patents or patent applications included in the Intellectual Property. To the Company’s knowledge, the Company and its subsidiaries have taken reasonable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United States patents and patent applications included in the Intellectual Property have been complied with; and to the Company’s knowledge, in all foreign offices having similar requirements, all such requirements have been complied with. To the Company’s knowledge,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62" w:lineRule="exact"/>
        <w:rPr>
          <w:sz w:val="20"/>
          <w:szCs w:val="20"/>
          <w:color w:val="auto"/>
        </w:rPr>
      </w:pPr>
    </w:p>
    <w:p>
      <w:pPr>
        <w:ind w:right="40" w:firstLine="436"/>
        <w:spacing w:after="0" w:line="274" w:lineRule="auto"/>
        <w:tabs>
          <w:tab w:leader="none" w:pos="69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All Necessary Permits, etc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possess such valid and current certificates, authorizations or permits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 federal or foreign regulatory agencies or bodies to conduct their respective businesses as currently conducted and as described in the Registration Statement or the Prospectus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except where failure to so possess would not reasonably be expected individually or in the aggregate, to result in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as would not reasonably be expected, individually or in the aggregate, to result in a Material Adverse Change.</w:t>
      </w:r>
    </w:p>
    <w:p>
      <w:pPr>
        <w:spacing w:after="0" w:line="65" w:lineRule="exact"/>
        <w:rPr>
          <w:rFonts w:ascii="Arial" w:cs="Arial" w:eastAsia="Arial" w:hAnsi="Arial"/>
          <w:sz w:val="17"/>
          <w:szCs w:val="17"/>
          <w:b w:val="1"/>
          <w:bCs w:val="1"/>
          <w:color w:val="auto"/>
        </w:rPr>
      </w:pPr>
    </w:p>
    <w:p>
      <w:pPr>
        <w:ind w:right="140" w:firstLine="436"/>
        <w:spacing w:after="0" w:line="292" w:lineRule="auto"/>
        <w:tabs>
          <w:tab w:leader="none" w:pos="735"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good and marketable title to all of the real and personal property and other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avoidance of doubt, excluding Intellectual Property) reflected as owned in the financial statements referred to in Section 6(u) above (or elsewhere in the Registration Statement or the Prospectus), in each case free and clear of any security interests, mortgages, liens, encumbrances, equities, adverse claims and other defects, except where failure to so possess would not reasonably be expected, individually or in the aggregate, to result in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53" w:lineRule="exact"/>
        <w:rPr>
          <w:rFonts w:ascii="Arial" w:cs="Arial" w:eastAsia="Arial" w:hAnsi="Arial"/>
          <w:sz w:val="16"/>
          <w:szCs w:val="16"/>
          <w:b w:val="1"/>
          <w:bCs w:val="1"/>
          <w:color w:val="auto"/>
        </w:rPr>
      </w:pPr>
    </w:p>
    <w:p>
      <w:pPr>
        <w:ind w:right="60" w:firstLine="436"/>
        <w:spacing w:after="0" w:line="289" w:lineRule="auto"/>
        <w:tabs>
          <w:tab w:leader="none" w:pos="69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have filed all necessary federal, state and foreign income and franchise tax returns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properly requested extensions thereof and have paid all taxes required to be paid by any of them and, if due and payable, any related or similar assessment, fine or penalty levied against any of them, except (i) as may be being contested in good faith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8" w:name="page79"/>
    <w:bookmarkEnd w:id="7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by appropriate proceedings or (ii) as would not, singularly or in the aggregate, result in a Material Adverse Change. The Company has made adequate charges, accruals and reserves in the applicable financial statements referred to in Section 6(k) above in respect of all material federal, state and foreign income and franchise taxes for all periods as to which the tax liability of the Company or any of its subsidiaries has not been finally determined.</w:t>
      </w:r>
    </w:p>
    <w:p>
      <w:pPr>
        <w:spacing w:after="0" w:line="41" w:lineRule="exact"/>
        <w:rPr>
          <w:sz w:val="20"/>
          <w:szCs w:val="20"/>
          <w:color w:val="auto"/>
        </w:rPr>
      </w:pPr>
    </w:p>
    <w:p>
      <w:pPr>
        <w:ind w:firstLine="436"/>
        <w:spacing w:after="0" w:line="271" w:lineRule="auto"/>
        <w:tabs>
          <w:tab w:leader="none" w:pos="695"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Insurance. </w:t>
      </w:r>
      <w:r>
        <w:rPr>
          <w:rFonts w:ascii="Arial" w:cs="Arial" w:eastAsia="Arial" w:hAnsi="Arial"/>
          <w:sz w:val="17"/>
          <w:szCs w:val="17"/>
          <w:color w:val="auto"/>
        </w:rPr>
        <w:t>Each of the Company and its subsidiaries are insured by recognized, financially sound and reputable institutions with policies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Neither the Company nor any of its subsidiaries has been denied any insurance coverage which it has sought or for which it has applied.</w:t>
      </w:r>
    </w:p>
    <w:p>
      <w:pPr>
        <w:spacing w:after="0" w:line="66" w:lineRule="exact"/>
        <w:rPr>
          <w:rFonts w:ascii="Arial" w:cs="Arial" w:eastAsia="Arial" w:hAnsi="Arial"/>
          <w:sz w:val="17"/>
          <w:szCs w:val="17"/>
          <w:b w:val="1"/>
          <w:bCs w:val="1"/>
          <w:color w:val="auto"/>
        </w:rPr>
      </w:pPr>
    </w:p>
    <w:p>
      <w:pPr>
        <w:ind w:right="60" w:firstLine="436"/>
        <w:spacing w:after="0" w:line="268" w:lineRule="auto"/>
        <w:tabs>
          <w:tab w:leader="none" w:pos="685"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would not reasonably be expected, individually or in the aggregate, to result in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u w:val="single" w:color="auto"/>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76" w:lineRule="exact"/>
        <w:rPr>
          <w:sz w:val="20"/>
          <w:szCs w:val="20"/>
          <w:color w:val="auto"/>
        </w:rPr>
      </w:pPr>
    </w:p>
    <w:p>
      <w:pPr>
        <w:ind w:right="40" w:firstLine="436"/>
        <w:spacing w:after="0" w:line="271" w:lineRule="auto"/>
        <w:tabs>
          <w:tab w:leader="none" w:pos="785"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ERISA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and any “employee benefit plan” (as defined under the Employee Retirement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Act of 1974, as amended, and the regulations and published interpretations thereunder (collectively,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ERISA. “</w:t>
      </w:r>
      <w:r>
        <w:rPr>
          <w:rFonts w:ascii="Arial" w:cs="Arial" w:eastAsia="Arial" w:hAnsi="Arial"/>
          <w:sz w:val="17"/>
          <w:szCs w:val="17"/>
          <w:b w:val="1"/>
          <w:bCs w:val="1"/>
          <w:u w:val="single" w:color="auto"/>
          <w:color w:val="auto"/>
        </w:rPr>
        <w:t>ERISA Affiliate</w:t>
      </w:r>
      <w:r>
        <w:rPr>
          <w:rFonts w:ascii="Arial" w:cs="Arial" w:eastAsia="Arial" w:hAnsi="Arial"/>
          <w:sz w:val="17"/>
          <w:szCs w:val="17"/>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9" w:name="page80"/>
    <w:bookmarkEnd w:id="7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80" w:lineRule="exact"/>
        <w:rPr>
          <w:sz w:val="20"/>
          <w:szCs w:val="20"/>
          <w:color w:val="auto"/>
        </w:rPr>
      </w:pPr>
    </w:p>
    <w:p>
      <w:pPr>
        <w:ind w:right="400" w:firstLine="436"/>
        <w:spacing w:after="0" w:line="259" w:lineRule="auto"/>
        <w:tabs>
          <w:tab w:leader="none" w:pos="80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and will not be, either after giving effect to the offering and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Placement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w:t>
      </w:r>
    </w:p>
    <w:p>
      <w:pPr>
        <w:spacing w:after="0" w:line="74" w:lineRule="exact"/>
        <w:rPr>
          <w:rFonts w:ascii="Arial" w:cs="Arial" w:eastAsia="Arial" w:hAnsi="Arial"/>
          <w:sz w:val="18"/>
          <w:szCs w:val="18"/>
          <w:b w:val="1"/>
          <w:bCs w:val="1"/>
          <w:color w:val="auto"/>
        </w:rPr>
      </w:pPr>
    </w:p>
    <w:p>
      <w:pPr>
        <w:ind w:firstLine="436"/>
        <w:spacing w:after="0" w:line="258" w:lineRule="auto"/>
        <w:tabs>
          <w:tab w:leader="none" w:pos="76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Price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has taken,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indirectly, without giving effect to activities by the Agent, any action designed to or that would reasonably be expected to cause or result in stabilization or manipulation of the price of the Placement Shares or of any “reference security” (as defined in Rule 100 of Regulation M under the Exchange Act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Regulation M</w:t>
      </w:r>
      <w:r>
        <w:rPr>
          <w:rFonts w:ascii="Arial" w:cs="Arial" w:eastAsia="Arial" w:hAnsi="Arial"/>
          <w:sz w:val="18"/>
          <w:szCs w:val="18"/>
          <w:b w:val="1"/>
          <w:bCs w:val="1"/>
          <w:color w:val="auto"/>
        </w:rPr>
        <w:t>”</w:t>
      </w:r>
      <w:r>
        <w:rPr>
          <w:rFonts w:ascii="Arial" w:cs="Arial" w:eastAsia="Arial" w:hAnsi="Arial"/>
          <w:sz w:val="18"/>
          <w:szCs w:val="18"/>
          <w:color w:val="auto"/>
        </w:rPr>
        <w:t>)) with respect to the Placement Shares, whether to facilitate the sale or resale of the Placement Shares or otherwise, and has taken no action which would directly or indirectly violate Regulation M.</w:t>
      </w:r>
    </w:p>
    <w:p>
      <w:pPr>
        <w:spacing w:after="0" w:line="75" w:lineRule="exact"/>
        <w:rPr>
          <w:rFonts w:ascii="Arial" w:cs="Arial" w:eastAsia="Arial" w:hAnsi="Arial"/>
          <w:sz w:val="18"/>
          <w:szCs w:val="18"/>
          <w:b w:val="1"/>
          <w:bCs w:val="1"/>
          <w:color w:val="auto"/>
        </w:rPr>
      </w:pPr>
    </w:p>
    <w:p>
      <w:pPr>
        <w:ind w:right="540" w:firstLine="436"/>
        <w:spacing w:after="0" w:line="347" w:lineRule="auto"/>
        <w:tabs>
          <w:tab w:leader="none" w:pos="805"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or any other person required to be described in the Registration Statement or the Prospectus that have not been described as required.</w:t>
      </w:r>
    </w:p>
    <w:p>
      <w:pPr>
        <w:spacing w:after="0" w:line="7" w:lineRule="exact"/>
        <w:rPr>
          <w:rFonts w:ascii="Arial" w:cs="Arial" w:eastAsia="Arial" w:hAnsi="Arial"/>
          <w:sz w:val="16"/>
          <w:szCs w:val="16"/>
          <w:b w:val="1"/>
          <w:bCs w:val="1"/>
          <w:color w:val="auto"/>
        </w:rPr>
      </w:pPr>
    </w:p>
    <w:p>
      <w:pPr>
        <w:ind w:right="40" w:firstLine="436"/>
        <w:spacing w:after="0" w:line="258" w:lineRule="auto"/>
        <w:tabs>
          <w:tab w:leader="none" w:pos="76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Agent or to counsel for the Agent by the Company, its counsel, its officers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to the Company’s knowledge, the holders of any securities (debt or equity) or options to acquire any securities of the Company in connection with the offering of the Placement Shares is true, complete, correct and compliant in all material respects with FINRA’s rules and any letters, filings or other supplemental information provided to FINRA pursuant to FINRA Rules or NASD Conduct Rules is true, complete and correct in all material respects.</w:t>
      </w:r>
    </w:p>
    <w:p>
      <w:pPr>
        <w:spacing w:after="0" w:line="75" w:lineRule="exact"/>
        <w:rPr>
          <w:rFonts w:ascii="Arial" w:cs="Arial" w:eastAsia="Arial" w:hAnsi="Arial"/>
          <w:sz w:val="18"/>
          <w:szCs w:val="18"/>
          <w:b w:val="1"/>
          <w:bCs w:val="1"/>
          <w:color w:val="auto"/>
        </w:rPr>
      </w:pPr>
    </w:p>
    <w:p>
      <w:pPr>
        <w:ind w:right="80" w:firstLine="436"/>
        <w:spacing w:after="0" w:line="289" w:lineRule="auto"/>
        <w:tabs>
          <w:tab w:leader="none" w:pos="725"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49" w:lineRule="exact"/>
        <w:rPr>
          <w:rFonts w:ascii="Arial" w:cs="Arial" w:eastAsia="Arial" w:hAnsi="Arial"/>
          <w:sz w:val="17"/>
          <w:szCs w:val="17"/>
          <w:b w:val="1"/>
          <w:bCs w:val="1"/>
          <w:color w:val="auto"/>
        </w:rPr>
      </w:pPr>
    </w:p>
    <w:p>
      <w:pPr>
        <w:ind w:right="240" w:firstLine="436"/>
        <w:spacing w:after="0" w:line="261" w:lineRule="auto"/>
        <w:tabs>
          <w:tab w:leader="none" w:pos="78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best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or the Prospectus.</w:t>
      </w:r>
    </w:p>
    <w:p>
      <w:pPr>
        <w:spacing w:after="0" w:line="71" w:lineRule="exact"/>
        <w:rPr>
          <w:rFonts w:ascii="Arial" w:cs="Arial" w:eastAsia="Arial" w:hAnsi="Arial"/>
          <w:sz w:val="18"/>
          <w:szCs w:val="18"/>
          <w:b w:val="1"/>
          <w:bCs w:val="1"/>
          <w:color w:val="auto"/>
        </w:rPr>
      </w:pPr>
    </w:p>
    <w:p>
      <w:pPr>
        <w:ind w:right="20" w:firstLine="436"/>
        <w:spacing w:after="0" w:line="303" w:lineRule="auto"/>
        <w:tabs>
          <w:tab w:leader="none" w:pos="805"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any director, officer, or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0" w:name="page81"/>
    <w:bookmarkEnd w:id="80"/>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ind w:left="4" w:right="140" w:hanging="4"/>
        <w:spacing w:after="0" w:line="292" w:lineRule="auto"/>
        <w:tabs>
          <w:tab w:leader="none" w:pos="3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violated or is in violation of applicable provisions of the U.S. Foreign Corrupt Practices Act of 1977, as amended (the “</w:t>
      </w:r>
      <w:r>
        <w:rPr>
          <w:rFonts w:ascii="Arial" w:cs="Arial" w:eastAsia="Arial" w:hAnsi="Arial"/>
          <w:sz w:val="16"/>
          <w:szCs w:val="16"/>
          <w:b w:val="1"/>
          <w:bCs w:val="1"/>
          <w:u w:val="single" w:color="auto"/>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50" w:lineRule="exact"/>
        <w:rPr>
          <w:rFonts w:ascii="Arial" w:cs="Arial" w:eastAsia="Arial" w:hAnsi="Arial"/>
          <w:sz w:val="16"/>
          <w:szCs w:val="16"/>
          <w:color w:val="auto"/>
        </w:rPr>
      </w:pPr>
    </w:p>
    <w:p>
      <w:pPr>
        <w:ind w:left="4" w:right="20" w:firstLine="436"/>
        <w:spacing w:after="0" w:line="274" w:lineRule="auto"/>
        <w:tabs>
          <w:tab w:leader="none" w:pos="709" w:val="left"/>
        </w:tabs>
        <w:numPr>
          <w:ilvl w:val="1"/>
          <w:numId w:val="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5" w:lineRule="exact"/>
        <w:rPr>
          <w:rFonts w:ascii="Arial" w:cs="Arial" w:eastAsia="Arial" w:hAnsi="Arial"/>
          <w:sz w:val="17"/>
          <w:szCs w:val="17"/>
          <w:b w:val="1"/>
          <w:bCs w:val="1"/>
          <w:color w:val="auto"/>
        </w:rPr>
      </w:pPr>
    </w:p>
    <w:p>
      <w:pPr>
        <w:ind w:left="4" w:firstLine="436"/>
        <w:spacing w:after="0" w:line="269" w:lineRule="auto"/>
        <w:tabs>
          <w:tab w:leader="none" w:pos="729" w:val="left"/>
        </w:tabs>
        <w:numPr>
          <w:ilvl w:val="1"/>
          <w:numId w:val="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Sanctions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directors, officers, or employees, nor, to the knowledge of the Company,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or the target of comprehensive Sanctions, including, without limitation, Crimea, Cuba, Donetsk People’s Republic, Iran, Luhansk People’s Republic, North Korea, and Syria (each, a “</w:t>
      </w:r>
      <w:r>
        <w:rPr>
          <w:rFonts w:ascii="Arial" w:cs="Arial" w:eastAsia="Arial" w:hAnsi="Arial"/>
          <w:sz w:val="17"/>
          <w:szCs w:val="17"/>
          <w:b w:val="1"/>
          <w:bCs w:val="1"/>
          <w:u w:val="single" w:color="auto"/>
          <w:color w:val="auto"/>
        </w:rPr>
        <w:t>Sanctioned Country</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67" w:lineRule="exact"/>
        <w:rPr>
          <w:rFonts w:ascii="Arial" w:cs="Arial" w:eastAsia="Arial" w:hAnsi="Arial"/>
          <w:sz w:val="17"/>
          <w:szCs w:val="17"/>
          <w:b w:val="1"/>
          <w:bCs w:val="1"/>
          <w:color w:val="auto"/>
        </w:rPr>
      </w:pPr>
    </w:p>
    <w:p>
      <w:pPr>
        <w:ind w:left="4" w:right="580" w:firstLine="436"/>
        <w:spacing w:after="0" w:line="312" w:lineRule="auto"/>
        <w:tabs>
          <w:tab w:leader="none" w:pos="809" w:val="left"/>
        </w:tabs>
        <w:numPr>
          <w:ilvl w:val="1"/>
          <w:numId w:val="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Brokers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pursuant to this Agreement, there is no broker, finder or other party that is entitled to receive from the Company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brokerage or finder’s fee or other fee or commission as a result of any transactions contemplated by this Agreement.</w:t>
      </w:r>
    </w:p>
    <w:p>
      <w:pPr>
        <w:spacing w:after="0" w:line="35" w:lineRule="exact"/>
        <w:rPr>
          <w:rFonts w:ascii="Arial" w:cs="Arial" w:eastAsia="Arial" w:hAnsi="Arial"/>
          <w:sz w:val="17"/>
          <w:szCs w:val="17"/>
          <w:b w:val="1"/>
          <w:bCs w:val="1"/>
          <w:color w:val="auto"/>
        </w:rPr>
      </w:pPr>
    </w:p>
    <w:p>
      <w:pPr>
        <w:ind w:left="4" w:right="20" w:firstLine="436"/>
        <w:spacing w:after="0" w:line="255" w:lineRule="auto"/>
        <w:tabs>
          <w:tab w:leader="none" w:pos="709"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81" w:name="page82"/>
    <w:bookmarkEnd w:id="81"/>
    <w:p>
      <w:pPr>
        <w:ind w:right="240" w:firstLine="436"/>
        <w:spacing w:after="0" w:line="263" w:lineRule="auto"/>
        <w:tabs>
          <w:tab w:leader="none" w:pos="90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Outstanding Loans or Other Extensions of Credit</w:t>
      </w:r>
      <w:r>
        <w:rPr>
          <w:rFonts w:ascii="Arial" w:cs="Arial" w:eastAsia="Arial" w:hAnsi="Arial"/>
          <w:sz w:val="18"/>
          <w:szCs w:val="18"/>
          <w:color w:val="auto"/>
        </w:rPr>
        <w:t>. The Company does not have any outstanding extension of credit, in the form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75" w:lineRule="exact"/>
        <w:rPr>
          <w:rFonts w:ascii="Arial" w:cs="Arial" w:eastAsia="Arial" w:hAnsi="Arial"/>
          <w:sz w:val="18"/>
          <w:szCs w:val="18"/>
          <w:b w:val="1"/>
          <w:bCs w:val="1"/>
          <w:color w:val="auto"/>
        </w:rPr>
      </w:pPr>
    </w:p>
    <w:p>
      <w:pPr>
        <w:ind w:firstLine="436"/>
        <w:spacing w:after="0" w:line="284" w:lineRule="auto"/>
        <w:tabs>
          <w:tab w:leader="none" w:pos="805"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Cybersecurity</w:t>
      </w:r>
      <w:r>
        <w:rPr>
          <w:rFonts w:ascii="Arial" w:cs="Arial" w:eastAsia="Arial" w:hAnsi="Arial"/>
          <w:sz w:val="16"/>
          <w:szCs w:val="16"/>
          <w:color w:val="auto"/>
        </w:rPr>
        <w:t>. The Company and its subsidiaries’ information technology assets and equipment, computers, systems, networks, hardware,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websites, applications, and databases (collectively, “</w:t>
      </w:r>
      <w:r>
        <w:rPr>
          <w:rFonts w:ascii="Arial" w:cs="Arial" w:eastAsia="Arial" w:hAnsi="Arial"/>
          <w:sz w:val="16"/>
          <w:szCs w:val="16"/>
          <w:b w:val="1"/>
          <w:bCs w:val="1"/>
          <w:u w:val="single" w:color="auto"/>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To the knowledge of the Company, the IT Systems that are critical to the operation of the Company’s business contain no material bugs, errors, defects, Trojan horses, time bombs, malware and other corruptants. The Company has implemented and maintained commercially reasonable physical, technical and administrative controls, policies, procedures, and safeguards designed to maintain and protect (a) its material confidential information; (b) the integrity and security of all IT Systems and the continuous operation and redundancy of those IT Systems that are necessary or critical to the operation of the Company’s business; and (c) “Personal Data,” (defined below) and all sensitive confidential or regulated data (“</w:t>
      </w:r>
      <w:r>
        <w:rPr>
          <w:rFonts w:ascii="Arial" w:cs="Arial" w:eastAsia="Arial" w:hAnsi="Arial"/>
          <w:sz w:val="16"/>
          <w:szCs w:val="16"/>
          <w:b w:val="1"/>
          <w:bCs w:val="1"/>
          <w:u w:val="single" w:color="auto"/>
          <w:color w:val="auto"/>
        </w:rPr>
        <w:t>Confidential Data</w:t>
      </w:r>
      <w:r>
        <w:rPr>
          <w:rFonts w:ascii="Arial" w:cs="Arial" w:eastAsia="Arial" w:hAnsi="Arial"/>
          <w:sz w:val="16"/>
          <w:szCs w:val="16"/>
          <w:color w:val="auto"/>
        </w:rPr>
        <w:t>”) used in connection with its businesses. “</w:t>
      </w:r>
      <w:r>
        <w:rPr>
          <w:rFonts w:ascii="Arial" w:cs="Arial" w:eastAsia="Arial" w:hAnsi="Arial"/>
          <w:sz w:val="16"/>
          <w:szCs w:val="16"/>
          <w:b w:val="1"/>
          <w:bCs w:val="1"/>
          <w:u w:val="single" w:color="auto"/>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u w:val="single" w:color="auto"/>
          <w:color w:val="auto"/>
        </w:rPr>
        <w:t>HIPAA</w:t>
      </w:r>
      <w:r>
        <w:rPr>
          <w:rFonts w:ascii="Arial" w:cs="Arial" w:eastAsia="Arial" w:hAnsi="Arial"/>
          <w:sz w:val="16"/>
          <w:szCs w:val="16"/>
          <w:b w:val="1"/>
          <w:bCs w:val="1"/>
          <w:color w:val="auto"/>
        </w:rPr>
        <w:t>”</w:t>
      </w:r>
      <w:r>
        <w:rPr>
          <w:rFonts w:ascii="Arial" w:cs="Arial" w:eastAsia="Arial" w:hAnsi="Arial"/>
          <w:sz w:val="16"/>
          <w:szCs w:val="16"/>
          <w:color w:val="auto"/>
        </w:rPr>
        <w:t>); and (v) any other piece of information that allows the identification of such natural person, or permits the collection or analysis of any data related to an identified person’s health or sexual orientation. Except as would not reasonably be expected to result in a Material Adverse Change, there have been no breaches, outages or unauthorized uses of or accesses to the Company’s IT Systems and no unauthorized uses or access to Personal Data or Confidential Data, nor any incidents under internal review or investigations relating to the same. The Company and its subsidiaries are presently in material compliance with all applicable laws or statutes and all judgments and orders binding on the Company, applicable binding rules and regulations of any court or arbitrator or governmental or regulatory authority, and internal policies and contractual obligations, each relating to the privacy and security of IT Systems, Confidential Data and Personal Data and to the protection of such IT Systems, Confidential Data and Personal Data from unauthorized use, access, misappropriation or modification.</w:t>
      </w:r>
    </w:p>
    <w:p>
      <w:pPr>
        <w:spacing w:after="0" w:line="289" w:lineRule="exact"/>
        <w:rPr>
          <w:rFonts w:ascii="Arial" w:cs="Arial" w:eastAsia="Arial" w:hAnsi="Arial"/>
          <w:sz w:val="16"/>
          <w:szCs w:val="16"/>
          <w:b w:val="1"/>
          <w:bCs w:val="1"/>
          <w:color w:val="auto"/>
        </w:rPr>
      </w:pPr>
    </w:p>
    <w:p>
      <w:pPr>
        <w:ind w:right="40" w:firstLine="436"/>
        <w:spacing w:after="0" w:line="270" w:lineRule="auto"/>
        <w:tabs>
          <w:tab w:leader="none" w:pos="78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Data Privacy Laws</w:t>
      </w:r>
      <w:r>
        <w:rPr>
          <w:rFonts w:ascii="Arial" w:cs="Arial" w:eastAsia="Arial" w:hAnsi="Arial"/>
          <w:sz w:val="17"/>
          <w:szCs w:val="17"/>
          <w:color w:val="auto"/>
        </w:rPr>
        <w:t>. The Company and its subsidiaries are, and at all prior times within the past three years were,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compliance with all applicable state and federal data privacy and security laws and regulations, including without limitation, to the extent applicable, HIPAA and the European Union General Data Protection Regulation (“</w:t>
      </w:r>
      <w:r>
        <w:rPr>
          <w:rFonts w:ascii="Arial" w:cs="Arial" w:eastAsia="Arial" w:hAnsi="Arial"/>
          <w:sz w:val="17"/>
          <w:szCs w:val="17"/>
          <w:b w:val="1"/>
          <w:bCs w:val="1"/>
          <w:u w:val="single" w:color="auto"/>
          <w:color w:val="auto"/>
        </w:rPr>
        <w:t>GDPR</w:t>
      </w:r>
      <w:r>
        <w:rPr>
          <w:rFonts w:ascii="Arial" w:cs="Arial" w:eastAsia="Arial" w:hAnsi="Arial"/>
          <w:sz w:val="17"/>
          <w:szCs w:val="17"/>
          <w:color w:val="auto"/>
        </w:rPr>
        <w:t>”) (EU 2016/679) (collectively, the “</w:t>
      </w:r>
      <w:r>
        <w:rPr>
          <w:rFonts w:ascii="Arial" w:cs="Arial" w:eastAsia="Arial" w:hAnsi="Arial"/>
          <w:sz w:val="17"/>
          <w:szCs w:val="17"/>
          <w:b w:val="1"/>
          <w:bCs w:val="1"/>
          <w:u w:val="single" w:color="auto"/>
          <w:color w:val="auto"/>
        </w:rPr>
        <w:t>Privacy Laws</w:t>
      </w:r>
      <w:r>
        <w:rPr>
          <w:rFonts w:ascii="Arial" w:cs="Arial" w:eastAsia="Arial" w:hAnsi="Arial"/>
          <w:sz w:val="17"/>
          <w:szCs w:val="17"/>
          <w:color w:val="auto"/>
        </w:rPr>
        <w:t>”). The Company and its subsidiaries have in place, materially comply with, and take appropriate steps reasonably designed to ensure compliance in all material respects with Privacy Laws and the Company’s policies and procedures relating to data privacy and security and the collection, storage, use, processing, disclosure, handling, and analysis of Personal Data and Confidential Data (the “</w:t>
      </w:r>
      <w:r>
        <w:rPr>
          <w:rFonts w:ascii="Arial" w:cs="Arial" w:eastAsia="Arial" w:hAnsi="Arial"/>
          <w:sz w:val="17"/>
          <w:szCs w:val="17"/>
          <w:b w:val="1"/>
          <w:bCs w:val="1"/>
          <w:u w:val="single" w:color="auto"/>
          <w:color w:val="auto"/>
        </w:rPr>
        <w:t>Policies</w:t>
      </w:r>
      <w:r>
        <w:rPr>
          <w:rFonts w:ascii="Arial" w:cs="Arial" w:eastAsia="Arial" w:hAnsi="Arial"/>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82" w:name="page83"/>
    <w:bookmarkEnd w:id="82"/>
    <w:p>
      <w:pPr>
        <w:jc w:val="both"/>
        <w:ind w:left="4"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that neither it nor any subsidiary: (i) has received written notice of any actual or potential liability under or relating to, or actual or potential violation of, any of the Privacy Laws, and has no knowledge of any event or condition that would reasonably be expected to result in any such notice;</w:t>
      </w:r>
    </w:p>
    <w:p>
      <w:pPr>
        <w:ind w:left="264" w:hanging="264"/>
        <w:spacing w:after="0"/>
        <w:tabs>
          <w:tab w:leader="none" w:pos="2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 currently conducting or paying for, in whole or in part, any investigation, remediation, or other corrective action pursuant to any Privacy Law; or</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 a party to any order, decree, or agreement with a government authority that imposes any obligation or liability under any Privacy Law.</w:t>
      </w:r>
    </w:p>
    <w:p>
      <w:pPr>
        <w:spacing w:after="0" w:line="114" w:lineRule="exact"/>
        <w:rPr>
          <w:rFonts w:ascii="Arial" w:cs="Arial" w:eastAsia="Arial" w:hAnsi="Arial"/>
          <w:sz w:val="17"/>
          <w:szCs w:val="17"/>
          <w:color w:val="auto"/>
        </w:rPr>
      </w:pPr>
    </w:p>
    <w:p>
      <w:pPr>
        <w:ind w:left="4" w:right="420" w:firstLine="436"/>
        <w:spacing w:after="0" w:line="277" w:lineRule="auto"/>
        <w:tabs>
          <w:tab w:leader="none" w:pos="809"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is and since April 29, 2021 has been, an “emerging growth company,”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2(a) of the Securities Act (an “</w:t>
      </w:r>
      <w:r>
        <w:rPr>
          <w:rFonts w:ascii="Arial" w:cs="Arial" w:eastAsia="Arial" w:hAnsi="Arial"/>
          <w:sz w:val="18"/>
          <w:szCs w:val="18"/>
          <w:b w:val="1"/>
          <w:bCs w:val="1"/>
          <w:u w:val="single" w:color="auto"/>
          <w:color w:val="auto"/>
        </w:rPr>
        <w:t>Emerging Growth Company</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4" w:right="40" w:firstLine="436"/>
        <w:spacing w:after="0" w:line="287" w:lineRule="auto"/>
        <w:tabs>
          <w:tab w:leader="none" w:pos="809"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(collectively, “</w:t>
      </w:r>
      <w:r>
        <w:rPr>
          <w:rFonts w:ascii="Arial" w:cs="Arial" w:eastAsia="Arial" w:hAnsi="Arial"/>
          <w:sz w:val="16"/>
          <w:szCs w:val="16"/>
          <w:b w:val="1"/>
          <w:bCs w:val="1"/>
          <w:u w:val="single" w:color="auto"/>
          <w:color w:val="auto"/>
        </w:rPr>
        <w:t>studies</w:t>
      </w:r>
      <w:r>
        <w:rPr>
          <w:rFonts w:ascii="Arial" w:cs="Arial" w:eastAsia="Arial" w:hAnsi="Arial"/>
          <w:sz w:val="16"/>
          <w:szCs w:val="16"/>
          <w:color w:val="auto"/>
        </w:rPr>
        <w:t>”)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u w:val="single" w:color="auto"/>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suspension or material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63" w:lineRule="exact"/>
        <w:rPr>
          <w:rFonts w:ascii="Arial" w:cs="Arial" w:eastAsia="Arial" w:hAnsi="Arial"/>
          <w:sz w:val="16"/>
          <w:szCs w:val="16"/>
          <w:b w:val="1"/>
          <w:bCs w:val="1"/>
          <w:color w:val="auto"/>
        </w:rPr>
      </w:pPr>
    </w:p>
    <w:p>
      <w:pPr>
        <w:ind w:left="4" w:firstLine="436"/>
        <w:spacing w:after="0" w:line="285" w:lineRule="auto"/>
        <w:tabs>
          <w:tab w:leader="none" w:pos="769"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Health Care Laws</w:t>
      </w:r>
      <w:r>
        <w:rPr>
          <w:rFonts w:ascii="Arial" w:cs="Arial" w:eastAsia="Arial" w:hAnsi="Arial"/>
          <w:sz w:val="16"/>
          <w:szCs w:val="16"/>
          <w:color w:val="auto"/>
        </w:rPr>
        <w:t>. The Company and its subsidiaries are, and at all times have been, in compliance with all Health 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in all material respects and to the extent applicable to the Company’s operations. For purposes of this Agreement, “</w:t>
      </w:r>
      <w:r>
        <w:rPr>
          <w:rFonts w:ascii="Arial" w:cs="Arial" w:eastAsia="Arial" w:hAnsi="Arial"/>
          <w:sz w:val="16"/>
          <w:szCs w:val="16"/>
          <w:b w:val="1"/>
          <w:bCs w:val="1"/>
          <w:u w:val="single" w:color="auto"/>
          <w:color w:val="auto"/>
        </w:rPr>
        <w:t>Health Care Laws</w:t>
      </w:r>
      <w:r>
        <w:rPr>
          <w:rFonts w:ascii="Arial" w:cs="Arial" w:eastAsia="Arial" w:hAnsi="Arial"/>
          <w:sz w:val="16"/>
          <w:szCs w:val="16"/>
          <w:color w:val="auto"/>
        </w:rPr>
        <w:t>” means, to the extent applicable to the Company’s operations: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83" w:name="page84"/>
    <w:bookmarkEnd w:id="83"/>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73" w:lineRule="exact"/>
        <w:rPr>
          <w:sz w:val="20"/>
          <w:szCs w:val="20"/>
          <w:color w:val="auto"/>
        </w:rPr>
      </w:pPr>
    </w:p>
    <w:p>
      <w:pPr>
        <w:ind w:firstLine="436"/>
        <w:spacing w:after="0" w:line="275" w:lineRule="auto"/>
        <w:tabs>
          <w:tab w:leader="none" w:pos="745"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Contract Terminations. </w:t>
      </w:r>
      <w:r>
        <w:rPr>
          <w:rFonts w:ascii="Arial" w:cs="Arial" w:eastAsia="Arial" w:hAnsi="Arial"/>
          <w:sz w:val="17"/>
          <w:szCs w:val="17"/>
          <w:color w:val="auto"/>
        </w:rPr>
        <w:t>Neither the Company nor any of its subsidiaries has sent or received any communication regarding termination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intent not to renew, any of the contracts or agreements referred to or described in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64" w:lineRule="exact"/>
        <w:rPr>
          <w:rFonts w:ascii="Arial" w:cs="Arial" w:eastAsia="Arial" w:hAnsi="Arial"/>
          <w:sz w:val="17"/>
          <w:szCs w:val="17"/>
          <w:b w:val="1"/>
          <w:bCs w:val="1"/>
          <w:color w:val="auto"/>
        </w:rPr>
      </w:pPr>
    </w:p>
    <w:p>
      <w:pPr>
        <w:jc w:val="both"/>
        <w:ind w:right="20" w:firstLine="436"/>
        <w:spacing w:after="0" w:line="261" w:lineRule="auto"/>
        <w:tabs>
          <w:tab w:leader="none" w:pos="72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subsidiary of the Company is prohibited or restricted, directly or indirectly, from paying dividends to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75" w:lineRule="exact"/>
        <w:rPr>
          <w:rFonts w:ascii="Arial" w:cs="Arial" w:eastAsia="Arial" w:hAnsi="Arial"/>
          <w:sz w:val="18"/>
          <w:szCs w:val="18"/>
          <w:b w:val="1"/>
          <w:bCs w:val="1"/>
          <w:color w:val="auto"/>
        </w:rPr>
      </w:pPr>
    </w:p>
    <w:p>
      <w:pPr>
        <w:ind w:right="120" w:firstLine="436"/>
        <w:spacing w:after="0" w:line="263" w:lineRule="auto"/>
        <w:tabs>
          <w:tab w:leader="none" w:pos="80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XBRL. </w:t>
      </w:r>
      <w:r>
        <w:rPr>
          <w:rFonts w:ascii="Arial" w:cs="Arial" w:eastAsia="Arial" w:hAnsi="Arial"/>
          <w:sz w:val="18"/>
          <w:szCs w:val="18"/>
          <w:color w:val="auto"/>
        </w:rPr>
        <w:t>The interactive data in eXtensible Business Reporting Language included or incorporated by reference in the Registration Statement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Prospectus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b w:val="1"/>
          <w:bCs w:val="1"/>
          <w:color w:val="auto"/>
        </w:rPr>
      </w:pPr>
    </w:p>
    <w:p>
      <w:pPr>
        <w:ind w:firstLine="436"/>
        <w:spacing w:after="0" w:line="263" w:lineRule="auto"/>
        <w:tabs>
          <w:tab w:leader="none" w:pos="78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Transfer Taxes. </w:t>
      </w:r>
      <w:r>
        <w:rPr>
          <w:rFonts w:ascii="Arial" w:cs="Arial" w:eastAsia="Arial" w:hAnsi="Arial"/>
          <w:sz w:val="18"/>
          <w:szCs w:val="18"/>
          <w:color w:val="auto"/>
        </w:rPr>
        <w:t>There are no transfer taxes or other similar fees or charges under federal law, the laws of any state, any foreign law,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political subdivision thereof, required to be paid in connection with the execution and delivery of this Agreement or the issuance by the Company or sale by the Company of the Placement Shares.</w:t>
      </w:r>
    </w:p>
    <w:p>
      <w:pPr>
        <w:spacing w:after="0" w:line="75" w:lineRule="exact"/>
        <w:rPr>
          <w:rFonts w:ascii="Arial" w:cs="Arial" w:eastAsia="Arial" w:hAnsi="Arial"/>
          <w:sz w:val="18"/>
          <w:szCs w:val="18"/>
          <w:b w:val="1"/>
          <w:bCs w:val="1"/>
          <w:color w:val="auto"/>
        </w:rPr>
      </w:pPr>
    </w:p>
    <w:p>
      <w:pPr>
        <w:ind w:right="20" w:firstLine="436"/>
        <w:spacing w:after="0" w:line="279" w:lineRule="auto"/>
        <w:tabs>
          <w:tab w:leader="none" w:pos="865"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Sarbanes-Oxley. </w:t>
      </w:r>
      <w:r>
        <w:rPr>
          <w:rFonts w:ascii="Arial" w:cs="Arial" w:eastAsia="Arial" w:hAnsi="Arial"/>
          <w:sz w:val="17"/>
          <w:szCs w:val="17"/>
          <w:color w:val="auto"/>
        </w:rPr>
        <w:t>The Company is in compliance with, and there is and has been no failure on the part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Arial" w:cs="Arial" w:eastAsia="Arial" w:hAnsi="Arial"/>
          <w:sz w:val="17"/>
          <w:szCs w:val="17"/>
          <w:b w:val="1"/>
          <w:bCs w:val="1"/>
          <w:u w:val="single" w:color="auto"/>
          <w:color w:val="auto"/>
        </w:rPr>
        <w:t>Sarbanes-Oxley Act</w:t>
      </w:r>
      <w:r>
        <w:rPr>
          <w:rFonts w:ascii="Arial" w:cs="Arial" w:eastAsia="Arial" w:hAnsi="Arial"/>
          <w:sz w:val="17"/>
          <w:szCs w:val="17"/>
          <w:color w:val="auto"/>
        </w:rPr>
        <w:t>”) and the rules and regulations promulgated in connection therewith, including Section 402 relating to loans.</w:t>
      </w:r>
    </w:p>
    <w:p>
      <w:pPr>
        <w:spacing w:after="0" w:line="63" w:lineRule="exact"/>
        <w:rPr>
          <w:rFonts w:ascii="Arial" w:cs="Arial" w:eastAsia="Arial" w:hAnsi="Arial"/>
          <w:sz w:val="17"/>
          <w:szCs w:val="17"/>
          <w:b w:val="1"/>
          <w:bCs w:val="1"/>
          <w:color w:val="auto"/>
        </w:rPr>
      </w:pPr>
    </w:p>
    <w:p>
      <w:pPr>
        <w:ind w:firstLine="436"/>
        <w:spacing w:after="0" w:line="296" w:lineRule="auto"/>
        <w:tabs>
          <w:tab w:leader="none" w:pos="785"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Other Sales. </w:t>
      </w:r>
      <w:r>
        <w:rPr>
          <w:rFonts w:ascii="Arial" w:cs="Arial" w:eastAsia="Arial" w:hAnsi="Arial"/>
          <w:sz w:val="16"/>
          <w:szCs w:val="16"/>
          <w:color w:val="auto"/>
        </w:rPr>
        <w:t>The Company acknowledges and agrees that the Agent has informed the Company that the Agent may, to the extent permitted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 the Securities Act and the Exchange Act, purchase and sell shares of Common Stock for its own account while this Agreement is in effect; </w:t>
      </w:r>
      <w:r>
        <w:rPr>
          <w:rFonts w:ascii="Arial" w:cs="Arial" w:eastAsia="Arial" w:hAnsi="Arial"/>
          <w:sz w:val="16"/>
          <w:szCs w:val="16"/>
          <w:i w:val="1"/>
          <w:iCs w:val="1"/>
          <w:color w:val="auto"/>
        </w:rPr>
        <w:t>provided</w:t>
      </w:r>
      <w:r>
        <w:rPr>
          <w:rFonts w:ascii="Arial" w:cs="Arial" w:eastAsia="Arial" w:hAnsi="Arial"/>
          <w:sz w:val="16"/>
          <w:szCs w:val="16"/>
          <w:color w:val="auto"/>
        </w:rPr>
        <w:t>, that (i) no such purchase or sales shall take place while a Placement Notice is in effect (except to the extent the Agent may engage in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84" w:name="page85"/>
    <w:bookmarkEnd w:id="84"/>
    <w:p>
      <w:pPr>
        <w:ind w:right="820" w:firstLine="436"/>
        <w:spacing w:after="0" w:line="277" w:lineRule="auto"/>
        <w:tabs>
          <w:tab w:leader="none" w:pos="78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Other Agreements. </w:t>
      </w:r>
      <w:r>
        <w:rPr>
          <w:rFonts w:ascii="Arial" w:cs="Arial" w:eastAsia="Arial" w:hAnsi="Arial"/>
          <w:sz w:val="18"/>
          <w:szCs w:val="18"/>
          <w:color w:val="auto"/>
        </w:rPr>
        <w:t>The Company is not a party to any agreement with an agent or underwriter for any other “at the market”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equity transaction.</w:t>
      </w:r>
    </w:p>
    <w:p>
      <w:pPr>
        <w:spacing w:after="0" w:line="62" w:lineRule="exact"/>
        <w:rPr>
          <w:rFonts w:ascii="Arial" w:cs="Arial" w:eastAsia="Arial" w:hAnsi="Arial"/>
          <w:sz w:val="18"/>
          <w:szCs w:val="18"/>
          <w:b w:val="1"/>
          <w:bCs w:val="1"/>
          <w:color w:val="auto"/>
        </w:rPr>
      </w:pPr>
    </w:p>
    <w:p>
      <w:pPr>
        <w:ind w:right="40" w:firstLine="436"/>
        <w:spacing w:after="0" w:line="270" w:lineRule="auto"/>
        <w:tabs>
          <w:tab w:leader="none" w:pos="765"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Broker Dealer Registration; No Conflicts. </w:t>
      </w:r>
      <w:r>
        <w:rPr>
          <w:rFonts w:ascii="Arial" w:cs="Arial" w:eastAsia="Arial" w:hAnsi="Arial"/>
          <w:sz w:val="17"/>
          <w:szCs w:val="17"/>
          <w:color w:val="auto"/>
        </w:rPr>
        <w:t>The Company is not required to register as a “broker” or “dealer”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73" w:lineRule="exact"/>
        <w:rPr>
          <w:sz w:val="20"/>
          <w:szCs w:val="20"/>
          <w:color w:val="auto"/>
        </w:rPr>
      </w:pPr>
    </w:p>
    <w:p>
      <w:pPr>
        <w:ind w:firstLine="436"/>
        <w:spacing w:after="0" w:line="273" w:lineRule="auto"/>
        <w:tabs>
          <w:tab w:leader="none" w:pos="875"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Public Float. </w:t>
      </w:r>
      <w:r>
        <w:rPr>
          <w:rFonts w:ascii="Arial" w:cs="Arial" w:eastAsia="Arial" w:hAnsi="Arial"/>
          <w:sz w:val="17"/>
          <w:szCs w:val="17"/>
          <w:color w:val="auto"/>
        </w:rPr>
        <w:t>As of the close of trading on Nasdaq on May 6, 2022, the aggregate market value of the outstanding voting and non-voting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Arial" w:cs="Arial" w:eastAsia="Arial" w:hAnsi="Arial"/>
          <w:sz w:val="17"/>
          <w:szCs w:val="17"/>
          <w:b w:val="1"/>
          <w:bCs w:val="1"/>
          <w:u w:val="single" w:color="auto"/>
          <w:color w:val="auto"/>
        </w:rPr>
        <w:t>Non-Affiliate Shares</w:t>
      </w:r>
      <w:r>
        <w:rPr>
          <w:rFonts w:ascii="Arial" w:cs="Arial" w:eastAsia="Arial" w:hAnsi="Arial"/>
          <w:sz w:val="17"/>
          <w:szCs w:val="17"/>
          <w:color w:val="auto"/>
        </w:rPr>
        <w:t>”), was approximately $80,500,000 (calculated by multiplying (x) the price at which the common equity of the Company was last sold on Nasdaq on April 8, 2022 by (y) the number of Non-Affiliate Shares outstanding on May 6, 2022). The Company is not a shell company (as defined in Rule 405) and has not been a shell company for at least 12 calendar months previously.</w:t>
      </w:r>
    </w:p>
    <w:p>
      <w:pPr>
        <w:spacing w:after="0" w:line="69" w:lineRule="exact"/>
        <w:rPr>
          <w:rFonts w:ascii="Arial" w:cs="Arial" w:eastAsia="Arial" w:hAnsi="Arial"/>
          <w:sz w:val="17"/>
          <w:szCs w:val="17"/>
          <w:b w:val="1"/>
          <w:bCs w:val="1"/>
          <w:color w:val="auto"/>
        </w:rPr>
      </w:pPr>
    </w:p>
    <w:p>
      <w:pPr>
        <w:ind w:right="120" w:firstLine="436"/>
        <w:spacing w:after="0" w:line="263" w:lineRule="auto"/>
        <w:tabs>
          <w:tab w:leader="none" w:pos="9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Margin Rules. </w:t>
      </w:r>
      <w:r>
        <w:rPr>
          <w:rFonts w:ascii="Arial" w:cs="Arial" w:eastAsia="Arial" w:hAnsi="Arial"/>
          <w:sz w:val="18"/>
          <w:szCs w:val="18"/>
          <w:color w:val="auto"/>
        </w:rPr>
        <w:t>Neither the issuance, sale and delivery of the Placement Shares nor the application of the proceeds thereof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the Registration Statement and the Prospectus will violate Regulation T, U or X of the Board of Governors of the Federal Reserve System or any other regulation of such Board of Governors.</w:t>
      </w:r>
    </w:p>
    <w:p>
      <w:pPr>
        <w:spacing w:after="0" w:line="75" w:lineRule="exact"/>
        <w:rPr>
          <w:rFonts w:ascii="Arial" w:cs="Arial" w:eastAsia="Arial" w:hAnsi="Arial"/>
          <w:sz w:val="18"/>
          <w:szCs w:val="18"/>
          <w:b w:val="1"/>
          <w:bCs w:val="1"/>
          <w:color w:val="auto"/>
        </w:rPr>
      </w:pPr>
    </w:p>
    <w:p>
      <w:pPr>
        <w:ind w:right="220" w:firstLine="436"/>
        <w:spacing w:after="0" w:line="286" w:lineRule="auto"/>
        <w:tabs>
          <w:tab w:leader="none" w:pos="845"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Integration. </w:t>
      </w:r>
      <w:r>
        <w:rPr>
          <w:rFonts w:ascii="Arial" w:cs="Arial" w:eastAsia="Arial" w:hAnsi="Arial"/>
          <w:sz w:val="17"/>
          <w:szCs w:val="17"/>
          <w:color w:val="auto"/>
        </w:rPr>
        <w:t>Neither the Company nor, to the Company’s knowledge, any of its affiliates (within the meaning of Rule 144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has, prior to the date hereof, made any offer or sale of any securities which could be “integrated” (within the meaning of the Securities Act) with the offer and sale of the Placement Shares hereunder.</w:t>
      </w:r>
    </w:p>
    <w:p>
      <w:pPr>
        <w:spacing w:after="0" w:line="57" w:lineRule="exact"/>
        <w:rPr>
          <w:rFonts w:ascii="Arial" w:cs="Arial" w:eastAsia="Arial" w:hAnsi="Arial"/>
          <w:sz w:val="17"/>
          <w:szCs w:val="17"/>
          <w:b w:val="1"/>
          <w:bCs w:val="1"/>
          <w:color w:val="auto"/>
        </w:rPr>
      </w:pPr>
    </w:p>
    <w:p>
      <w:pPr>
        <w:ind w:left="900" w:hanging="464"/>
        <w:spacing w:after="0"/>
        <w:tabs>
          <w:tab w:leader="none" w:pos="9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Bankruptcy or Insolvency. </w:t>
      </w:r>
      <w:r>
        <w:rPr>
          <w:rFonts w:ascii="Arial" w:cs="Arial" w:eastAsia="Arial" w:hAnsi="Arial"/>
          <w:sz w:val="18"/>
          <w:szCs w:val="18"/>
          <w:color w:val="auto"/>
        </w:rPr>
        <w:t>The Company is not in or subject to a bankruptcy or insolvency proceeding in any jurisdiction.</w:t>
      </w:r>
    </w:p>
    <w:p>
      <w:pPr>
        <w:spacing w:after="0" w:line="117" w:lineRule="exact"/>
        <w:rPr>
          <w:rFonts w:ascii="Arial" w:cs="Arial" w:eastAsia="Arial" w:hAnsi="Arial"/>
          <w:sz w:val="18"/>
          <w:szCs w:val="18"/>
          <w:b w:val="1"/>
          <w:bCs w:val="1"/>
          <w:color w:val="auto"/>
        </w:rPr>
      </w:pPr>
    </w:p>
    <w:p>
      <w:pPr>
        <w:jc w:val="both"/>
        <w:ind w:right="40" w:firstLine="436"/>
        <w:spacing w:after="0" w:line="286" w:lineRule="auto"/>
        <w:tabs>
          <w:tab w:leader="none" w:pos="845"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Non-Competition and Non-Solicitation Agreements. </w:t>
      </w:r>
      <w:r>
        <w:rPr>
          <w:rFonts w:ascii="Arial" w:cs="Arial" w:eastAsia="Arial" w:hAnsi="Arial"/>
          <w:sz w:val="17"/>
          <w:szCs w:val="17"/>
          <w:color w:val="auto"/>
        </w:rPr>
        <w:t>To the Company’s knowledge, no director or officer of the Company is subject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6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5" w:name="page86"/>
    <w:bookmarkEnd w:id="8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the Agent that:</w:t>
      </w:r>
    </w:p>
    <w:p>
      <w:pPr>
        <w:spacing w:after="0" w:line="117" w:lineRule="exact"/>
        <w:rPr>
          <w:sz w:val="20"/>
          <w:szCs w:val="20"/>
          <w:color w:val="auto"/>
        </w:rPr>
      </w:pPr>
    </w:p>
    <w:p>
      <w:pPr>
        <w:ind w:left="4" w:right="20" w:firstLine="436"/>
        <w:spacing w:after="0" w:line="282" w:lineRule="auto"/>
        <w:tabs>
          <w:tab w:leader="none" w:pos="689"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in writing within two Business Days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w:t>
      </w:r>
    </w:p>
    <w:p>
      <w:pPr>
        <w:spacing w:after="0" w:line="10" w:lineRule="exact"/>
        <w:rPr>
          <w:rFonts w:ascii="Arial" w:cs="Arial" w:eastAsia="Arial" w:hAnsi="Arial"/>
          <w:sz w:val="16"/>
          <w:szCs w:val="16"/>
          <w:color w:val="auto"/>
        </w:rPr>
      </w:pPr>
    </w:p>
    <w:p>
      <w:pPr>
        <w:ind w:left="4" w:right="140" w:hanging="4"/>
        <w:spacing w:after="0" w:line="253" w:lineRule="auto"/>
        <w:tabs>
          <w:tab w:leader="none" w:pos="3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82" w:lineRule="exact"/>
        <w:rPr>
          <w:rFonts w:ascii="Arial" w:cs="Arial" w:eastAsia="Arial" w:hAnsi="Arial"/>
          <w:sz w:val="18"/>
          <w:szCs w:val="18"/>
          <w:color w:val="auto"/>
        </w:rPr>
      </w:pPr>
    </w:p>
    <w:p>
      <w:pPr>
        <w:ind w:left="4" w:firstLine="436"/>
        <w:spacing w:after="0" w:line="272" w:lineRule="auto"/>
        <w:tabs>
          <w:tab w:leader="none" w:pos="699"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86" w:name="page87"/>
    <w:bookmarkEnd w:id="86"/>
    <w:p>
      <w:pPr>
        <w:ind w:firstLine="436"/>
        <w:spacing w:after="0" w:line="268"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Prospectus; Subsequent Changes</w:t>
      </w:r>
      <w:r>
        <w:rPr>
          <w:rFonts w:ascii="Arial" w:cs="Arial" w:eastAsia="Arial" w:hAnsi="Arial"/>
          <w:sz w:val="17"/>
          <w:szCs w:val="17"/>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reasonable best efforts to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the filing of any amendment or supplement if, in the judgement of the Company, it is in the best interest of the Company to do so.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73" w:lineRule="exact"/>
        <w:rPr>
          <w:rFonts w:ascii="Arial" w:cs="Arial" w:eastAsia="Arial" w:hAnsi="Arial"/>
          <w:sz w:val="17"/>
          <w:szCs w:val="17"/>
          <w:color w:val="auto"/>
        </w:rPr>
      </w:pPr>
    </w:p>
    <w:p>
      <w:pPr>
        <w:ind w:right="240" w:firstLine="436"/>
        <w:spacing w:after="0" w:line="25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79" w:lineRule="exact"/>
        <w:rPr>
          <w:rFonts w:ascii="Arial" w:cs="Arial" w:eastAsia="Arial" w:hAnsi="Arial"/>
          <w:sz w:val="18"/>
          <w:szCs w:val="18"/>
          <w:color w:val="auto"/>
        </w:rPr>
      </w:pPr>
    </w:p>
    <w:p>
      <w:pPr>
        <w:ind w:firstLine="436"/>
        <w:spacing w:after="0" w:line="291"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the Agent and its counsel (at the reasonable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any document (other than the Prospectus) to the Agent to the extent such document is available on EDGAR.</w:t>
      </w:r>
    </w:p>
    <w:p>
      <w:pPr>
        <w:spacing w:after="0" w:line="58" w:lineRule="exact"/>
        <w:rPr>
          <w:rFonts w:ascii="Arial" w:cs="Arial" w:eastAsia="Arial" w:hAnsi="Arial"/>
          <w:sz w:val="16"/>
          <w:szCs w:val="16"/>
          <w:color w:val="auto"/>
        </w:rPr>
      </w:pPr>
    </w:p>
    <w:p>
      <w:pPr>
        <w:ind w:right="120" w:firstLine="436"/>
        <w:spacing w:after="0" w:line="263"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75"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whether or not the transactions contemplated hereunder are consummated or this Agreement is terminated in accordance with the provisions of Section 12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(A) in an amount not to exceed $75,000 arising out of executing this Agreement and the Company’s delivery of the initial certificate pursuant to Section 7(m) and (B) in an amount not to exceed $15,000 in connection with each Representation Date (as defined below) on which the Company is required to provide a certificate pursuant to Section 7(m) (in addition to the fees and associated expenses referred to in clause (vii) above).</w:t>
      </w:r>
    </w:p>
    <w:p>
      <w:pPr>
        <w:spacing w:after="0" w:line="60" w:lineRule="exact"/>
        <w:rPr>
          <w:sz w:val="20"/>
          <w:szCs w:val="20"/>
          <w:color w:val="auto"/>
        </w:rPr>
      </w:pPr>
    </w:p>
    <w:p>
      <w:pPr>
        <w:ind w:left="700" w:hanging="264"/>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128" w:lineRule="exact"/>
        <w:rPr>
          <w:rFonts w:ascii="Arial" w:cs="Arial" w:eastAsia="Arial" w:hAnsi="Arial"/>
          <w:sz w:val="17"/>
          <w:szCs w:val="17"/>
          <w:color w:val="auto"/>
        </w:rPr>
      </w:pPr>
    </w:p>
    <w:p>
      <w:pPr>
        <w:ind w:right="20" w:firstLine="436"/>
        <w:spacing w:after="0" w:line="285" w:lineRule="auto"/>
        <w:tabs>
          <w:tab w:leader="none" w:pos="65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restrictions will not be required in connection with the Company’s issuance or sale of (i) shares of Common Stock, options to purchase shares of Common Stock, restricted stock awards,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8" w:name="page89"/>
    <w:bookmarkEnd w:id="88"/>
    <w:p>
      <w:pPr>
        <w:ind w:left="4" w:right="60" w:firstLine="436"/>
        <w:spacing w:after="0" w:line="259" w:lineRule="auto"/>
        <w:tabs>
          <w:tab w:leader="none" w:pos="65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Circumstances</w:t>
      </w:r>
      <w:r>
        <w:rPr>
          <w:rFonts w:ascii="Arial" w:cs="Arial" w:eastAsia="Arial" w:hAnsi="Arial"/>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78" w:lineRule="exact"/>
        <w:rPr>
          <w:rFonts w:ascii="Arial" w:cs="Arial" w:eastAsia="Arial" w:hAnsi="Arial"/>
          <w:sz w:val="18"/>
          <w:szCs w:val="18"/>
          <w:color w:val="auto"/>
        </w:rPr>
      </w:pPr>
    </w:p>
    <w:p>
      <w:pPr>
        <w:ind w:left="4" w:right="60" w:firstLine="436"/>
        <w:spacing w:after="0" w:line="259" w:lineRule="auto"/>
        <w:tabs>
          <w:tab w:leader="none" w:pos="69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78" w:lineRule="exact"/>
        <w:rPr>
          <w:rFonts w:ascii="Arial" w:cs="Arial" w:eastAsia="Arial" w:hAnsi="Arial"/>
          <w:sz w:val="18"/>
          <w:szCs w:val="18"/>
          <w:color w:val="auto"/>
        </w:rPr>
      </w:pPr>
    </w:p>
    <w:p>
      <w:pPr>
        <w:ind w:left="4" w:right="40" w:firstLine="436"/>
        <w:spacing w:after="0" w:line="270" w:lineRule="auto"/>
        <w:tabs>
          <w:tab w:leader="none" w:pos="659"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Required Filings Relating to Placement of Placement Shares</w:t>
      </w:r>
      <w:r>
        <w:rPr>
          <w:rFonts w:ascii="Arial" w:cs="Arial" w:eastAsia="Arial" w:hAnsi="Arial"/>
          <w:sz w:val="17"/>
          <w:szCs w:val="17"/>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72" w:lineRule="exact"/>
        <w:rPr>
          <w:rFonts w:ascii="Arial" w:cs="Arial" w:eastAsia="Arial" w:hAnsi="Arial"/>
          <w:sz w:val="17"/>
          <w:szCs w:val="17"/>
          <w:color w:val="auto"/>
        </w:rPr>
      </w:pPr>
    </w:p>
    <w:p>
      <w:pPr>
        <w:ind w:left="4" w:right="140" w:firstLine="436"/>
        <w:spacing w:after="0" w:line="277" w:lineRule="auto"/>
        <w:tabs>
          <w:tab w:leader="none" w:pos="74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On or prior to the date on which the Company first delivers a Placement Notice pursuant to this agreement (the “</w:t>
      </w:r>
      <w:r>
        <w:rPr>
          <w:rFonts w:ascii="Arial" w:cs="Arial" w:eastAsia="Arial" w:hAnsi="Arial"/>
          <w:sz w:val="18"/>
          <w:szCs w:val="18"/>
          <w:b w:val="1"/>
          <w:bCs w:val="1"/>
          <w:u w:val="single" w:color="auto"/>
          <w:color w:val="auto"/>
        </w:rPr>
        <w:t>First Placement Notice Date</w:t>
      </w:r>
      <w:r>
        <w:rPr>
          <w:rFonts w:ascii="Arial" w:cs="Arial" w:eastAsia="Arial" w:hAnsi="Arial"/>
          <w:sz w:val="18"/>
          <w:szCs w:val="18"/>
          <w:color w:val="auto"/>
        </w:rPr>
        <w:t>”) and each time the Company:</w:t>
      </w:r>
    </w:p>
    <w:p>
      <w:pPr>
        <w:spacing w:after="0" w:line="62" w:lineRule="exact"/>
        <w:rPr>
          <w:rFonts w:ascii="Arial" w:cs="Arial" w:eastAsia="Arial" w:hAnsi="Arial"/>
          <w:sz w:val="18"/>
          <w:szCs w:val="18"/>
          <w:color w:val="auto"/>
        </w:rPr>
      </w:pPr>
    </w:p>
    <w:p>
      <w:pPr>
        <w:ind w:left="4" w:right="20" w:firstLine="987"/>
        <w:spacing w:after="0" w:line="259" w:lineRule="auto"/>
        <w:tabs>
          <w:tab w:leader="none" w:pos="121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amends or supplements (other than a prospectus supplement relating solely to the offering of securities other than the Placement Shares)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78" w:lineRule="exact"/>
        <w:rPr>
          <w:rFonts w:ascii="Arial" w:cs="Arial" w:eastAsia="Arial" w:hAnsi="Arial"/>
          <w:sz w:val="18"/>
          <w:szCs w:val="18"/>
          <w:color w:val="auto"/>
        </w:rPr>
      </w:pPr>
    </w:p>
    <w:p>
      <w:pPr>
        <w:ind w:left="4" w:firstLine="987"/>
        <w:spacing w:after="0" w:line="277" w:lineRule="auto"/>
        <w:tabs>
          <w:tab w:leader="none" w:pos="12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amended financial information or a material amendment to the previously filed Form 10-K);</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2"/>
          <w:numId w:val="82"/>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17" w:lineRule="exact"/>
        <w:rPr>
          <w:rFonts w:ascii="Arial" w:cs="Arial" w:eastAsia="Arial" w:hAnsi="Arial"/>
          <w:sz w:val="18"/>
          <w:szCs w:val="18"/>
          <w:color w:val="auto"/>
        </w:rPr>
      </w:pPr>
    </w:p>
    <w:p>
      <w:pPr>
        <w:ind w:left="4" w:right="420" w:firstLine="987"/>
        <w:spacing w:after="0" w:line="291" w:lineRule="auto"/>
        <w:tabs>
          <w:tab w:leader="none" w:pos="1300" w:val="left"/>
        </w:tabs>
        <w:numPr>
          <w:ilvl w:val="2"/>
          <w:numId w:val="82"/>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4" w:hanging="224"/>
        <w:spacing w:after="0"/>
        <w:tabs>
          <w:tab w:leader="none" w:pos="2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(iv) shall be a “</w:t>
      </w:r>
      <w:r>
        <w:rPr>
          <w:rFonts w:ascii="Arial" w:cs="Arial" w:eastAsia="Arial" w:hAnsi="Arial"/>
          <w:sz w:val="18"/>
          <w:szCs w:val="18"/>
          <w:b w:val="1"/>
          <w:bCs w:val="1"/>
          <w:u w:val="single" w:color="auto"/>
          <w:color w:val="auto"/>
        </w:rPr>
        <w:t>Representation Date</w:t>
      </w:r>
      <w:r>
        <w:rPr>
          <w:rFonts w:ascii="Arial" w:cs="Arial" w:eastAsia="Arial" w:hAnsi="Arial"/>
          <w:sz w:val="18"/>
          <w:szCs w:val="18"/>
          <w:color w:val="auto"/>
        </w:rPr>
        <w: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89" w:name="page90"/>
    <w:bookmarkEnd w:id="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Arial" w:cs="Arial" w:eastAsia="Arial" w:hAnsi="Arial"/>
          <w:sz w:val="17"/>
          <w:szCs w:val="17"/>
          <w:b w:val="1"/>
          <w:bCs w:val="1"/>
          <w:u w:val="single" w:color="auto"/>
          <w:color w:val="auto"/>
        </w:rPr>
        <w:t>Exhibit 7(m)</w:t>
      </w:r>
      <w:r>
        <w:rPr>
          <w:rFonts w:ascii="Arial" w:cs="Arial" w:eastAsia="Arial" w:hAnsi="Arial"/>
          <w:sz w:val="17"/>
          <w:szCs w:val="17"/>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Arial" w:cs="Arial" w:eastAsia="Arial" w:hAnsi="Arial"/>
          <w:sz w:val="17"/>
          <w:szCs w:val="17"/>
          <w:b w:val="1"/>
          <w:bCs w:val="1"/>
          <w:u w:val="single" w:color="auto"/>
          <w:color w:val="auto"/>
        </w:rPr>
        <w:t>Exhibit 7(m)</w:t>
      </w:r>
      <w:r>
        <w:rPr>
          <w:rFonts w:ascii="Arial" w:cs="Arial" w:eastAsia="Arial" w:hAnsi="Arial"/>
          <w:sz w:val="17"/>
          <w:szCs w:val="17"/>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71" w:lineRule="exact"/>
        <w:rPr>
          <w:sz w:val="20"/>
          <w:szCs w:val="20"/>
          <w:color w:val="auto"/>
        </w:rPr>
      </w:pPr>
    </w:p>
    <w:p>
      <w:pPr>
        <w:ind w:right="100" w:firstLine="436"/>
        <w:spacing w:after="0" w:line="269"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On or prior to the First Placement Notice Date and on any date on which the Company is obligated to deliver a certificate pursuant to Section 7(m) for which no waiver is applicable, the Company shall cause to be furnished to the Agent the written opinion and negative assurance letter of Wilmer Cutler Pickering Hale and Dorr LLP, counsel to the Company, or such other counsel satisfactory to the Agent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Counsel</w:t>
      </w:r>
      <w:r>
        <w:rPr>
          <w:rFonts w:ascii="Arial" w:cs="Arial" w:eastAsia="Arial" w:hAnsi="Arial"/>
          <w:sz w:val="17"/>
          <w:szCs w:val="17"/>
          <w:color w:val="auto"/>
        </w:rPr>
        <w:t>”), in form and substance satisfactory to the Agent and its counsel, dated the date that the opinion and negative assurance letter are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delivered,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 Notwithstanding the foregoing, the Company shall not be required to furnish more than one opinion of such counsel per each annual report on Form 10-K and each quarterly report on Form 10-Q filed by the Company.</w:t>
      </w:r>
    </w:p>
    <w:p>
      <w:pPr>
        <w:spacing w:after="0" w:line="73" w:lineRule="exact"/>
        <w:rPr>
          <w:rFonts w:ascii="Arial" w:cs="Arial" w:eastAsia="Arial" w:hAnsi="Arial"/>
          <w:sz w:val="17"/>
          <w:szCs w:val="17"/>
          <w:color w:val="auto"/>
        </w:rPr>
      </w:pPr>
    </w:p>
    <w:p>
      <w:pPr>
        <w:ind w:right="60" w:firstLine="436"/>
        <w:spacing w:after="0" w:line="270"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Intellectual Property Opinion</w:t>
      </w:r>
      <w:r>
        <w:rPr>
          <w:rFonts w:ascii="Arial" w:cs="Arial" w:eastAsia="Arial" w:hAnsi="Arial"/>
          <w:sz w:val="17"/>
          <w:szCs w:val="17"/>
          <w:color w:val="auto"/>
        </w:rPr>
        <w:t>. On or prior to the First Placement Notice Date and on any date on which the Company is obligated to deliver a certificate pursuant to Section 7(m) for which no waiver is applicable, the Company shall cause to be furnished to the Agent the written opinion of Hogan Lovells US LLP, counsel for the Company with respect to intellectual property matters, or such other intellectual property counsel satisfactory to the Agent (“</w:t>
      </w:r>
      <w:r>
        <w:rPr>
          <w:rFonts w:ascii="Arial" w:cs="Arial" w:eastAsia="Arial" w:hAnsi="Arial"/>
          <w:sz w:val="17"/>
          <w:szCs w:val="17"/>
          <w:b w:val="1"/>
          <w:bCs w:val="1"/>
          <w:u w:val="single" w:color="auto"/>
          <w:color w:val="auto"/>
        </w:rPr>
        <w:t>Intellectual Property Counsel</w:t>
      </w:r>
      <w:r>
        <w:rPr>
          <w:rFonts w:ascii="Arial" w:cs="Arial" w:eastAsia="Arial" w:hAnsi="Arial"/>
          <w:sz w:val="17"/>
          <w:szCs w:val="17"/>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such written opinion for subsequent Representation Dates, Intellectual Property Counsel may furnish the Agent with a letter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72" w:lineRule="exact"/>
        <w:rPr>
          <w:rFonts w:ascii="Arial" w:cs="Arial" w:eastAsia="Arial" w:hAnsi="Arial"/>
          <w:sz w:val="17"/>
          <w:szCs w:val="17"/>
          <w:color w:val="auto"/>
        </w:rPr>
      </w:pPr>
    </w:p>
    <w:p>
      <w:pPr>
        <w:ind w:right="80" w:firstLine="436"/>
        <w:spacing w:after="0" w:line="275"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First Placement Notice Date and on any date on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7"/>
          <w:szCs w:val="17"/>
          <w:b w:val="1"/>
          <w:bCs w:val="1"/>
          <w:u w:val="single" w:color="auto"/>
          <w:color w:val="auto"/>
        </w:rPr>
        <w:t>Comfort Letters</w:t>
      </w:r>
      <w:r>
        <w:rPr>
          <w:rFonts w:ascii="Arial" w:cs="Arial" w:eastAsia="Arial" w:hAnsi="Arial"/>
          <w:sz w:val="17"/>
          <w:szCs w:val="17"/>
          <w:color w:val="auto"/>
        </w:rPr>
        <w:t xml:space="preserve">”), dated the date the Comfort Letter is delivered, which shall meet the requirements set forth in this Section 7(p); </w:t>
      </w:r>
      <w:r>
        <w:rPr>
          <w:rFonts w:ascii="Arial" w:cs="Arial" w:eastAsia="Arial" w:hAnsi="Arial"/>
          <w:sz w:val="17"/>
          <w:szCs w:val="17"/>
          <w:i w:val="1"/>
          <w:iCs w:val="1"/>
          <w:color w:val="auto"/>
        </w:rPr>
        <w:t>provided</w:t>
      </w:r>
      <w:r>
        <w:rPr>
          <w:rFonts w:ascii="Arial" w:cs="Arial" w:eastAsia="Arial" w:hAnsi="Arial"/>
          <w:sz w:val="17"/>
          <w:szCs w:val="17"/>
          <w:color w:val="auto"/>
        </w:rPr>
        <w:t>, that if requested by the Agent, the Company shall cause a Comfort Letter to be furnished to the Agent within 10 Trading Days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90" w:name="page91"/>
    <w:bookmarkEnd w:id="9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u w:val="single" w:color="auto"/>
          <w:color w:val="auto"/>
        </w:rPr>
        <w:t>Initial Comfort Letter</w:t>
      </w:r>
      <w:r>
        <w:rPr>
          <w:rFonts w:ascii="Arial" w:cs="Arial" w:eastAsia="Arial" w:hAnsi="Arial"/>
          <w:sz w:val="17"/>
          <w:szCs w:val="17"/>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70" w:lineRule="exact"/>
        <w:rPr>
          <w:sz w:val="20"/>
          <w:szCs w:val="20"/>
          <w:color w:val="auto"/>
        </w:rPr>
      </w:pPr>
    </w:p>
    <w:p>
      <w:pPr>
        <w:ind w:right="100" w:firstLine="436"/>
        <w:spacing w:after="0" w:line="296"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xml:space="preserve">. The Company will not, directly or indirectly, and will cause its officers, directors and Subsidiaries not to (i) take any action designed to cause or result in, or that constitutes or would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bid for and purchase shares of Common Stock in accordance with Rule 10b-18 under the Exchange Act.</w:t>
      </w:r>
    </w:p>
    <w:p>
      <w:pPr>
        <w:spacing w:after="0" w:line="53" w:lineRule="exact"/>
        <w:rPr>
          <w:rFonts w:ascii="Arial" w:cs="Arial" w:eastAsia="Arial" w:hAnsi="Arial"/>
          <w:sz w:val="16"/>
          <w:szCs w:val="16"/>
          <w:color w:val="auto"/>
        </w:rPr>
      </w:pPr>
    </w:p>
    <w:p>
      <w:pPr>
        <w:ind w:firstLine="436"/>
        <w:spacing w:after="0" w:line="277" w:lineRule="auto"/>
        <w:tabs>
          <w:tab w:leader="none" w:pos="66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62" w:lineRule="exact"/>
        <w:rPr>
          <w:rFonts w:ascii="Arial" w:cs="Arial" w:eastAsia="Arial" w:hAnsi="Arial"/>
          <w:sz w:val="18"/>
          <w:szCs w:val="18"/>
          <w:color w:val="auto"/>
        </w:rPr>
      </w:pPr>
    </w:p>
    <w:p>
      <w:pPr>
        <w:ind w:right="20" w:firstLine="436"/>
        <w:spacing w:after="0" w:line="259" w:lineRule="auto"/>
        <w:tabs>
          <w:tab w:leader="none" w:pos="67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each of its Subsidiaries shall maintain, or cause to be maintained, all Permits,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Change.</w:t>
      </w:r>
    </w:p>
    <w:p>
      <w:pPr>
        <w:spacing w:after="0" w:line="78" w:lineRule="exact"/>
        <w:rPr>
          <w:rFonts w:ascii="Arial" w:cs="Arial" w:eastAsia="Arial" w:hAnsi="Arial"/>
          <w:sz w:val="18"/>
          <w:szCs w:val="18"/>
          <w:color w:val="auto"/>
        </w:rPr>
      </w:pPr>
    </w:p>
    <w:p>
      <w:pPr>
        <w:ind w:right="540" w:firstLine="436"/>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75"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commercially reasonable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75" w:lineRule="exact"/>
        <w:rPr>
          <w:rFonts w:ascii="Arial" w:cs="Arial" w:eastAsia="Arial" w:hAnsi="Arial"/>
          <w:sz w:val="18"/>
          <w:szCs w:val="18"/>
          <w:color w:val="auto"/>
        </w:rPr>
      </w:pPr>
    </w:p>
    <w:p>
      <w:pPr>
        <w:ind w:firstLine="436"/>
        <w:spacing w:after="0" w:line="279" w:lineRule="auto"/>
        <w:tabs>
          <w:tab w:leader="none" w:pos="69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 Offer to Sell</w:t>
      </w:r>
      <w:r>
        <w:rPr>
          <w:rFonts w:ascii="Arial" w:cs="Arial" w:eastAsia="Arial" w:hAnsi="Arial"/>
          <w:sz w:val="17"/>
          <w:szCs w:val="17"/>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91" w:name="page92"/>
    <w:bookmarkEnd w:id="91"/>
    <w:p>
      <w:pPr>
        <w:ind w:firstLine="436"/>
        <w:spacing w:after="0" w:line="289" w:lineRule="auto"/>
        <w:tabs>
          <w:tab w:leader="none" w:pos="73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Blue Sky and Other Qualifications</w:t>
      </w:r>
      <w:r>
        <w:rPr>
          <w:rFonts w:ascii="Arial" w:cs="Arial" w:eastAsia="Arial" w:hAnsi="Arial"/>
          <w:sz w:val="16"/>
          <w:szCs w:val="16"/>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58" w:lineRule="exact"/>
        <w:rPr>
          <w:rFonts w:ascii="Arial" w:cs="Arial" w:eastAsia="Arial" w:hAnsi="Arial"/>
          <w:sz w:val="16"/>
          <w:szCs w:val="16"/>
          <w:color w:val="auto"/>
        </w:rPr>
      </w:pPr>
    </w:p>
    <w:p>
      <w:pPr>
        <w:ind w:firstLine="436"/>
        <w:spacing w:after="0" w:line="286"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59" w:lineRule="exact"/>
        <w:rPr>
          <w:rFonts w:ascii="Arial" w:cs="Arial" w:eastAsia="Arial" w:hAnsi="Arial"/>
          <w:sz w:val="16"/>
          <w:szCs w:val="16"/>
          <w:color w:val="auto"/>
        </w:rPr>
      </w:pPr>
    </w:p>
    <w:p>
      <w:pPr>
        <w:ind w:right="40" w:firstLine="436"/>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62"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The Company will indemnify and hold harmless the Agent against any documentary, stamp or similar issue tax, including any interest and penalties, on the issue and sale of the Placement Shares.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(aa) </w:t>
      </w:r>
      <w:r>
        <w:rPr>
          <w:rFonts w:ascii="Arial" w:cs="Arial" w:eastAsia="Arial" w:hAnsi="Arial"/>
          <w:sz w:val="17"/>
          <w:szCs w:val="17"/>
          <w:u w:val="single" w:color="auto"/>
          <w:color w:val="auto"/>
        </w:rPr>
        <w:t>Transfer Agent</w:t>
      </w:r>
      <w:r>
        <w:rPr>
          <w:rFonts w:ascii="Arial" w:cs="Arial" w:eastAsia="Arial" w:hAnsi="Arial"/>
          <w:sz w:val="17"/>
          <w:szCs w:val="17"/>
          <w:color w:val="auto"/>
        </w:rPr>
        <w:t>. The Company has engaged and will maintain, at its sole expense, a transfer agent and registrar for the Common Stock.</w:t>
      </w:r>
    </w:p>
    <w:p>
      <w:pPr>
        <w:spacing w:after="0" w:line="129" w:lineRule="exact"/>
        <w:rPr>
          <w:sz w:val="20"/>
          <w:szCs w:val="20"/>
          <w:color w:val="auto"/>
        </w:rPr>
      </w:pPr>
    </w:p>
    <w:p>
      <w:pPr>
        <w:ind w:right="340" w:firstLine="436"/>
        <w:spacing w:after="0" w:line="279" w:lineRule="auto"/>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Conditions to the Agent’s Obligations</w:t>
      </w:r>
      <w:r>
        <w:rPr>
          <w:rFonts w:ascii="Arial" w:cs="Arial" w:eastAsia="Arial" w:hAnsi="Arial"/>
          <w:sz w:val="17"/>
          <w:szCs w:val="17"/>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92" w:name="page93"/>
    <w:bookmarkEnd w:id="92"/>
    <w:p>
      <w:pPr>
        <w:ind w:right="420" w:firstLine="436"/>
        <w:spacing w:after="0" w:line="342"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Effective</w:t>
      </w:r>
      <w:r>
        <w:rPr>
          <w:rFonts w:ascii="Arial" w:cs="Arial" w:eastAsia="Arial" w:hAnsi="Arial"/>
          <w:sz w:val="16"/>
          <w:szCs w:val="16"/>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5" w:lineRule="exact"/>
        <w:rPr>
          <w:rFonts w:ascii="Arial" w:cs="Arial" w:eastAsia="Arial" w:hAnsi="Arial"/>
          <w:sz w:val="16"/>
          <w:szCs w:val="16"/>
          <w:color w:val="auto"/>
        </w:rPr>
      </w:pPr>
    </w:p>
    <w:p>
      <w:pPr>
        <w:ind w:right="300" w:firstLine="436"/>
        <w:spacing w:after="0" w:line="308"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Prospectus Supplement</w:t>
      </w:r>
      <w:r>
        <w:rPr>
          <w:rFonts w:ascii="Arial" w:cs="Arial" w:eastAsia="Arial" w:hAnsi="Arial"/>
          <w:sz w:val="17"/>
          <w:szCs w:val="17"/>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38" w:lineRule="exact"/>
        <w:rPr>
          <w:rFonts w:ascii="Arial" w:cs="Arial" w:eastAsia="Arial" w:hAnsi="Arial"/>
          <w:sz w:val="17"/>
          <w:szCs w:val="17"/>
          <w:color w:val="auto"/>
        </w:rPr>
      </w:pPr>
    </w:p>
    <w:p>
      <w:pPr>
        <w:ind w:firstLine="436"/>
        <w:spacing w:after="0" w:line="287"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59" w:lineRule="exact"/>
        <w:rPr>
          <w:rFonts w:ascii="Arial" w:cs="Arial" w:eastAsia="Arial" w:hAnsi="Arial"/>
          <w:sz w:val="16"/>
          <w:szCs w:val="16"/>
          <w:color w:val="auto"/>
        </w:rPr>
      </w:pPr>
    </w:p>
    <w:p>
      <w:pPr>
        <w:ind w:right="80" w:firstLine="436"/>
        <w:spacing w:after="0" w:line="286"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57" w:lineRule="exact"/>
        <w:rPr>
          <w:rFonts w:ascii="Arial" w:cs="Arial" w:eastAsia="Arial" w:hAnsi="Arial"/>
          <w:sz w:val="17"/>
          <w:szCs w:val="17"/>
          <w:color w:val="auto"/>
        </w:rPr>
      </w:pPr>
    </w:p>
    <w:p>
      <w:pPr>
        <w:ind w:right="20" w:firstLine="436"/>
        <w:spacing w:after="0" w:line="291"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58" w:lineRule="exact"/>
        <w:rPr>
          <w:rFonts w:ascii="Arial" w:cs="Arial" w:eastAsia="Arial" w:hAnsi="Arial"/>
          <w:sz w:val="16"/>
          <w:szCs w:val="16"/>
          <w:color w:val="auto"/>
        </w:rPr>
      </w:pPr>
    </w:p>
    <w:p>
      <w:pPr>
        <w:ind w:right="360" w:firstLine="436"/>
        <w:spacing w:after="0" w:line="311" w:lineRule="auto"/>
        <w:tabs>
          <w:tab w:leader="none" w:pos="66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Company Counsel Legal Opinions</w:t>
      </w:r>
      <w:r>
        <w:rPr>
          <w:rFonts w:ascii="Arial" w:cs="Arial" w:eastAsia="Arial" w:hAnsi="Arial"/>
          <w:sz w:val="16"/>
          <w:szCs w:val="16"/>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93" w:name="page94"/>
    <w:bookmarkEnd w:id="93"/>
    <w:p>
      <w:pPr>
        <w:ind w:left="4" w:right="60" w:firstLine="436"/>
        <w:spacing w:after="0" w:line="259" w:lineRule="auto"/>
        <w:tabs>
          <w:tab w:leader="none" w:pos="69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Counsel Legal Opinion</w:t>
      </w:r>
      <w:r>
        <w:rPr>
          <w:rFonts w:ascii="Arial" w:cs="Arial" w:eastAsia="Arial" w:hAnsi="Arial"/>
          <w:sz w:val="18"/>
          <w:szCs w:val="18"/>
          <w:color w:val="auto"/>
        </w:rPr>
        <w:t>. The Agent shall have received from Cooley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78" w:lineRule="exact"/>
        <w:rPr>
          <w:rFonts w:ascii="Arial" w:cs="Arial" w:eastAsia="Arial" w:hAnsi="Arial"/>
          <w:sz w:val="18"/>
          <w:szCs w:val="18"/>
          <w:color w:val="auto"/>
        </w:rPr>
      </w:pPr>
    </w:p>
    <w:p>
      <w:pPr>
        <w:ind w:left="4" w:right="220" w:firstLine="436"/>
        <w:spacing w:after="0" w:line="277" w:lineRule="auto"/>
        <w:tabs>
          <w:tab w:leader="none" w:pos="69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62" w:lineRule="exact"/>
        <w:rPr>
          <w:rFonts w:ascii="Arial" w:cs="Arial" w:eastAsia="Arial" w:hAnsi="Arial"/>
          <w:sz w:val="18"/>
          <w:szCs w:val="18"/>
          <w:color w:val="auto"/>
        </w:rPr>
      </w:pPr>
    </w:p>
    <w:p>
      <w:pPr>
        <w:ind w:left="4" w:firstLine="436"/>
        <w:spacing w:after="0" w:line="277" w:lineRule="auto"/>
        <w:tabs>
          <w:tab w:leader="none" w:pos="65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The Agent shall have received the certificate required to be delivered pursuant to Section 7(m) on or before the date on which delivery of such certificate is required pursuant to Section 7(m).</w:t>
      </w:r>
    </w:p>
    <w:p>
      <w:pPr>
        <w:spacing w:after="0" w:line="62" w:lineRule="exact"/>
        <w:rPr>
          <w:rFonts w:ascii="Arial" w:cs="Arial" w:eastAsia="Arial" w:hAnsi="Arial"/>
          <w:sz w:val="18"/>
          <w:szCs w:val="18"/>
          <w:color w:val="auto"/>
        </w:rPr>
      </w:pPr>
    </w:p>
    <w:p>
      <w:pPr>
        <w:ind w:left="4" w:right="40" w:firstLine="436"/>
        <w:spacing w:after="0" w:line="254" w:lineRule="auto"/>
        <w:tabs>
          <w:tab w:leader="none" w:pos="65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 w:right="360" w:firstLine="436"/>
        <w:spacing w:after="0" w:line="342" w:lineRule="auto"/>
        <w:tabs>
          <w:tab w:leader="none" w:pos="699"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No Suspension</w:t>
      </w:r>
      <w:r>
        <w:rPr>
          <w:rFonts w:ascii="Arial" w:cs="Arial" w:eastAsia="Arial" w:hAnsi="Arial"/>
          <w:sz w:val="16"/>
          <w:szCs w:val="16"/>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15" w:lineRule="exact"/>
        <w:rPr>
          <w:rFonts w:ascii="Arial" w:cs="Arial" w:eastAsia="Arial" w:hAnsi="Arial"/>
          <w:sz w:val="16"/>
          <w:szCs w:val="16"/>
          <w:color w:val="auto"/>
        </w:rPr>
      </w:pPr>
    </w:p>
    <w:p>
      <w:pPr>
        <w:ind w:left="4" w:right="340" w:firstLine="436"/>
        <w:spacing w:after="0" w:line="257" w:lineRule="auto"/>
        <w:tabs>
          <w:tab w:leader="none" w:pos="65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79" w:lineRule="exact"/>
        <w:rPr>
          <w:rFonts w:ascii="Arial" w:cs="Arial" w:eastAsia="Arial" w:hAnsi="Arial"/>
          <w:sz w:val="18"/>
          <w:szCs w:val="18"/>
          <w:color w:val="auto"/>
        </w:rPr>
      </w:pPr>
    </w:p>
    <w:p>
      <w:pPr>
        <w:ind w:left="4" w:right="20" w:firstLine="436"/>
        <w:spacing w:after="0" w:line="263" w:lineRule="auto"/>
        <w:tabs>
          <w:tab w:leader="none" w:pos="74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Either (i) the Placement Shares shall have been approved for listing on Nasdaq, subject only to notice of issuance, or</w:t>
      </w:r>
    </w:p>
    <w:p>
      <w:pPr>
        <w:spacing w:after="0" w:line="46"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77" w:lineRule="exact"/>
        <w:rPr>
          <w:rFonts w:ascii="Arial" w:cs="Arial" w:eastAsia="Arial" w:hAnsi="Arial"/>
          <w:sz w:val="18"/>
          <w:szCs w:val="18"/>
          <w:color w:val="auto"/>
        </w:rPr>
      </w:pPr>
    </w:p>
    <w:p>
      <w:pPr>
        <w:ind w:left="4" w:right="60" w:firstLine="436"/>
        <w:spacing w:after="0" w:line="277" w:lineRule="auto"/>
        <w:tabs>
          <w:tab w:leader="none" w:pos="699"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have raised no objection to the terms of the offering contemplated hereby and the amount of compensation allowable or payable to the Agent as described in the Prospectus.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94" w:name="page95"/>
    <w:bookmarkEnd w:id="94"/>
    <w:p>
      <w:pPr>
        <w:ind w:left="-20" w:right="760" w:firstLine="436"/>
        <w:spacing w:after="0" w:line="277"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Termination Event</w:t>
      </w:r>
      <w:r>
        <w:rPr>
          <w:rFonts w:ascii="Arial" w:cs="Arial" w:eastAsia="Arial" w:hAnsi="Arial"/>
          <w:sz w:val="18"/>
          <w:szCs w:val="18"/>
          <w:color w:val="auto"/>
        </w:rPr>
        <w:t>. There shall not have occurred any event that would permit the Agent to terminate this Agreement pursuant to Section 11(a).</w:t>
      </w:r>
    </w:p>
    <w:p>
      <w:pPr>
        <w:spacing w:after="0" w:line="170" w:lineRule="exact"/>
        <w:rPr>
          <w:sz w:val="20"/>
          <w:szCs w:val="20"/>
          <w:color w:val="auto"/>
        </w:rPr>
      </w:pPr>
    </w:p>
    <w:p>
      <w:pPr>
        <w:ind w:left="600" w:hanging="184"/>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67" w:lineRule="auto"/>
        <w:tabs>
          <w:tab w:leader="none" w:pos="66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Company Indemnification</w:t>
      </w:r>
      <w:r>
        <w:rPr>
          <w:rFonts w:ascii="Arial" w:cs="Arial" w:eastAsia="Arial" w:hAnsi="Arial"/>
          <w:sz w:val="17"/>
          <w:szCs w:val="17"/>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of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therein or necessary to make the statements therein (solely with respect to the Prospectus,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81" w:lineRule="exact"/>
        <w:rPr>
          <w:rFonts w:ascii="Arial" w:cs="Arial" w:eastAsia="Arial" w:hAnsi="Arial"/>
          <w:sz w:val="17"/>
          <w:szCs w:val="17"/>
          <w:color w:val="auto"/>
        </w:rPr>
      </w:pPr>
    </w:p>
    <w:p>
      <w:pPr>
        <w:ind w:left="-20" w:right="20" w:firstLine="436"/>
        <w:spacing w:after="0" w:line="255" w:lineRule="auto"/>
        <w:tabs>
          <w:tab w:leader="none" w:pos="67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Agent Indemnification</w:t>
      </w:r>
      <w:r>
        <w:rPr>
          <w:rFonts w:ascii="Arial" w:cs="Arial" w:eastAsia="Arial" w:hAnsi="Arial"/>
          <w:sz w:val="18"/>
          <w:szCs w:val="18"/>
          <w:color w:val="auto"/>
        </w:rPr>
        <w:t>. The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any related Issuer Free Writing Prospectus or the Prospectus (or any amendment or supplement thereto) in reliance upon and in conformity with the Agent’s Information.</w:t>
      </w:r>
    </w:p>
    <w:p>
      <w:pPr>
        <w:spacing w:after="0" w:line="84" w:lineRule="exact"/>
        <w:rPr>
          <w:rFonts w:ascii="Arial" w:cs="Arial" w:eastAsia="Arial" w:hAnsi="Arial"/>
          <w:sz w:val="18"/>
          <w:szCs w:val="18"/>
          <w:color w:val="auto"/>
        </w:rPr>
      </w:pPr>
    </w:p>
    <w:p>
      <w:pPr>
        <w:ind w:left="-20" w:right="100" w:firstLine="436"/>
        <w:spacing w:after="0" w:line="291" w:lineRule="auto"/>
        <w:tabs>
          <w:tab w:leader="none" w:pos="66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4" w:right="459" w:bottom="1440" w:gutter="0" w:footer="0" w:header="0"/>
        </w:sectPr>
      </w:pPr>
    </w:p>
    <w:bookmarkStart w:id="95" w:name="page96"/>
    <w:bookmarkEnd w:id="9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w:t>
      </w:r>
    </w:p>
    <w:p>
      <w:pPr>
        <w:spacing w:after="0" w:line="11" w:lineRule="exact"/>
        <w:rPr>
          <w:sz w:val="20"/>
          <w:szCs w:val="20"/>
          <w:color w:val="auto"/>
        </w:rPr>
      </w:pPr>
    </w:p>
    <w:p>
      <w:pPr>
        <w:ind w:left="4" w:right="120" w:hanging="4"/>
        <w:spacing w:after="0" w:line="255" w:lineRule="auto"/>
        <w:tabs>
          <w:tab w:leader="none" w:pos="2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81" w:lineRule="exact"/>
        <w:rPr>
          <w:rFonts w:ascii="Arial" w:cs="Arial" w:eastAsia="Arial" w:hAnsi="Arial"/>
          <w:sz w:val="18"/>
          <w:szCs w:val="18"/>
          <w:color w:val="auto"/>
        </w:rPr>
      </w:pPr>
    </w:p>
    <w:p>
      <w:pPr>
        <w:ind w:left="4" w:right="80" w:firstLine="436"/>
        <w:spacing w:after="0" w:line="273" w:lineRule="auto"/>
        <w:tabs>
          <w:tab w:leader="none" w:pos="699"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69" w:lineRule="exact"/>
        <w:rPr>
          <w:rFonts w:ascii="Arial" w:cs="Arial" w:eastAsia="Arial" w:hAnsi="Arial"/>
          <w:sz w:val="17"/>
          <w:szCs w:val="17"/>
          <w:color w:val="auto"/>
        </w:rPr>
      </w:pPr>
    </w:p>
    <w:p>
      <w:pPr>
        <w:ind w:left="4" w:right="200" w:firstLine="436"/>
        <w:spacing w:after="0" w:line="296" w:lineRule="auto"/>
        <w:tabs>
          <w:tab w:leader="none" w:pos="689"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96" w:name="page97"/>
    <w:bookmarkEnd w:id="96"/>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96" w:lineRule="exact"/>
        <w:rPr>
          <w:sz w:val="20"/>
          <w:szCs w:val="20"/>
          <w:color w:val="auto"/>
        </w:rPr>
      </w:pPr>
    </w:p>
    <w:p>
      <w:pPr>
        <w:ind w:firstLine="436"/>
        <w:spacing w:after="0" w:line="257" w:lineRule="auto"/>
        <w:tabs>
          <w:tab w:leader="none" w:pos="71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The indemnity and contribution agreements contained in Section 9 of this Agreement and all representations and warranties of the Company herein or in certificates delivered pursuant hereto, or of the Agent herein,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97" w:name="page98"/>
    <w:bookmarkEnd w:id="97"/>
    <w:p>
      <w:pPr>
        <w:ind w:left="660" w:hanging="26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8"/>
          <w:szCs w:val="18"/>
          <w:color w:val="auto"/>
        </w:rPr>
        <w:t>.</w:t>
      </w:r>
    </w:p>
    <w:p>
      <w:pPr>
        <w:spacing w:after="0" w:line="117" w:lineRule="exact"/>
        <w:rPr>
          <w:sz w:val="20"/>
          <w:szCs w:val="20"/>
          <w:color w:val="auto"/>
        </w:rPr>
      </w:pPr>
    </w:p>
    <w:p>
      <w:pPr>
        <w:ind w:left="-40" w:right="40" w:firstLine="436"/>
        <w:spacing w:after="0" w:line="269" w:lineRule="auto"/>
        <w:tabs>
          <w:tab w:leader="none" w:pos="64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Agent shall have the right, by giving notice as hereinafter specified, at any time to terminate this Agreement if (i) any Material Adverse Change or any development that is reasonably likely to result in a Material Adverse Change, has occurred that, in the judgment of the Agent, may materially impair the ability of the Agent to sell the Placement Shares hereunder, (ii) any suspension or limitation of trading in the Placement Shares or in securities generally on Nasdaq shall have occurred, (iii) a general banking moratorium shall have been declared by any of United States federal or New York authorities, or (iv)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73" w:lineRule="exact"/>
        <w:rPr>
          <w:rFonts w:ascii="Arial" w:cs="Arial" w:eastAsia="Arial" w:hAnsi="Arial"/>
          <w:sz w:val="17"/>
          <w:szCs w:val="17"/>
          <w:color w:val="auto"/>
        </w:rPr>
      </w:pPr>
    </w:p>
    <w:p>
      <w:pPr>
        <w:ind w:left="-40" w:right="40" w:firstLine="436"/>
        <w:spacing w:after="0" w:line="259"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78" w:lineRule="exact"/>
        <w:rPr>
          <w:rFonts w:ascii="Arial" w:cs="Arial" w:eastAsia="Arial" w:hAnsi="Arial"/>
          <w:sz w:val="18"/>
          <w:szCs w:val="18"/>
          <w:color w:val="auto"/>
        </w:rPr>
      </w:pPr>
    </w:p>
    <w:p>
      <w:pPr>
        <w:ind w:left="-40" w:firstLine="436"/>
        <w:spacing w:after="0" w:line="259" w:lineRule="auto"/>
        <w:tabs>
          <w:tab w:leader="none" w:pos="6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78" w:lineRule="exact"/>
        <w:rPr>
          <w:rFonts w:ascii="Arial" w:cs="Arial" w:eastAsia="Arial" w:hAnsi="Arial"/>
          <w:sz w:val="18"/>
          <w:szCs w:val="18"/>
          <w:color w:val="auto"/>
        </w:rPr>
      </w:pPr>
    </w:p>
    <w:p>
      <w:pPr>
        <w:ind w:left="-40" w:right="120" w:firstLine="436"/>
        <w:spacing w:after="0" w:line="286"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Section 7(g), Section 9, Section 10, Section 11(f), Section 16 and Section 17 hereof shall remain in full force and effect notwithstanding such termination.</w:t>
      </w:r>
    </w:p>
    <w:p>
      <w:pPr>
        <w:spacing w:after="0" w:line="57" w:lineRule="exact"/>
        <w:rPr>
          <w:rFonts w:ascii="Arial" w:cs="Arial" w:eastAsia="Arial" w:hAnsi="Arial"/>
          <w:sz w:val="17"/>
          <w:szCs w:val="17"/>
          <w:color w:val="auto"/>
        </w:rPr>
      </w:pPr>
    </w:p>
    <w:p>
      <w:pPr>
        <w:ind w:left="-40" w:right="40" w:firstLine="436"/>
        <w:spacing w:after="0" w:line="263" w:lineRule="auto"/>
        <w:tabs>
          <w:tab w:leader="none" w:pos="6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Sections 11(a), (b), (c), or (d)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75" w:lineRule="exact"/>
        <w:rPr>
          <w:rFonts w:ascii="Arial" w:cs="Arial" w:eastAsia="Arial" w:hAnsi="Arial"/>
          <w:sz w:val="18"/>
          <w:szCs w:val="18"/>
          <w:color w:val="auto"/>
        </w:rPr>
      </w:pPr>
    </w:p>
    <w:p>
      <w:pPr>
        <w:ind w:left="-40" w:right="100" w:firstLine="436"/>
        <w:spacing w:after="0" w:line="255" w:lineRule="auto"/>
        <w:tabs>
          <w:tab w:leader="none" w:pos="62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remain obligated to reimburse the Agent’s expenses pursuant to Section 7(g).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80" w:top="274" w:right="499" w:bottom="1440" w:gutter="0" w:footer="0" w:header="0"/>
        </w:sectPr>
      </w:pPr>
    </w:p>
    <w:bookmarkStart w:id="98" w:name="page99"/>
    <w:bookmarkEnd w:id="98"/>
    <w:p>
      <w:pPr>
        <w:ind w:right="300" w:firstLine="436"/>
        <w:spacing w:after="0" w:line="277" w:lineRule="auto"/>
        <w:tabs>
          <w:tab w:leader="none" w:pos="71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Securities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Peter M. Fry</w:t>
      </w:r>
    </w:p>
    <w:p>
      <w:pPr>
        <w:spacing w:after="0" w:line="9" w:lineRule="exact"/>
        <w:rPr>
          <w:sz w:val="20"/>
          <w:szCs w:val="20"/>
          <w:color w:val="auto"/>
        </w:rPr>
      </w:pPr>
    </w:p>
    <w:p>
      <w:pPr>
        <w:jc w:val="center"/>
        <w:ind w:right="7500"/>
        <w:spacing w:after="0"/>
        <w:rPr>
          <w:sz w:val="20"/>
          <w:szCs w:val="20"/>
          <w:color w:val="auto"/>
        </w:rPr>
      </w:pPr>
      <w:r>
        <w:rPr>
          <w:rFonts w:ascii="Arial" w:cs="Arial" w:eastAsia="Arial" w:hAnsi="Arial"/>
          <w:sz w:val="18"/>
          <w:szCs w:val="18"/>
          <w:color w:val="auto"/>
        </w:rPr>
        <w:t>E-mail: peter.fry@svbsecurities.com</w:t>
      </w:r>
    </w:p>
    <w:p>
      <w:pPr>
        <w:spacing w:after="0" w:line="103" w:lineRule="exact"/>
        <w:rPr>
          <w:sz w:val="20"/>
          <w:szCs w:val="20"/>
          <w:color w:val="auto"/>
        </w:rPr>
      </w:pPr>
    </w:p>
    <w:p>
      <w:pPr>
        <w:jc w:val="center"/>
        <w:ind w:right="7460"/>
        <w:spacing w:after="0"/>
        <w:rPr>
          <w:sz w:val="20"/>
          <w:szCs w:val="20"/>
          <w:color w:val="auto"/>
        </w:rPr>
      </w:pPr>
      <w:r>
        <w:rPr>
          <w:rFonts w:ascii="Arial" w:cs="Arial" w:eastAsia="Arial" w:hAnsi="Arial"/>
          <w:sz w:val="16"/>
          <w:szCs w:val="16"/>
          <w:color w:val="auto"/>
        </w:rPr>
        <w:t>with a copy (which shall not constitute notice) to: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Securities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Stuart R. Nayman,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stuart.nayman@svbsecurities.com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dgoldberg@cooley.com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Werewolf 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1030 Massachusetts Avenue, Suite 210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Cambridge, Massachusetts 02138</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dhicklin@werewolftx.com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Massachusetts 02109</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Rosemary G. Reilly,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rosemary.reilly@wilmerhale.com</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email on or before 4:30 P.M., New York City time, on a Business Day, or, if such day is not a Business Day, on the next succeeding Business Day, (ii) by Electronic Notice as set forth in the next paragraph, (iii) on the next Business Day after timely delivery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99" w:name="page100"/>
    <w:bookmarkEnd w:id="99"/>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the Nasdaq and commercial banks in the City of New York are open for business.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to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87" w:lineRule="exact"/>
        <w:rPr>
          <w:sz w:val="20"/>
          <w:szCs w:val="20"/>
          <w:color w:val="auto"/>
        </w:rPr>
      </w:pPr>
    </w:p>
    <w:p>
      <w:pPr>
        <w:ind w:right="40" w:firstLine="436"/>
        <w:spacing w:after="0" w:line="271" w:lineRule="auto"/>
        <w:tabs>
          <w:tab w:leader="none" w:pos="71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Agent may assign its rights and obligations hereunder to an affiliate of the Agent without obtaining the Company’s consent, so long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affiliate is a registered broker-dealer.</w:t>
      </w:r>
    </w:p>
    <w:p>
      <w:pPr>
        <w:spacing w:after="0" w:line="178" w:lineRule="exact"/>
        <w:rPr>
          <w:rFonts w:ascii="Arial" w:cs="Arial" w:eastAsia="Arial" w:hAnsi="Arial"/>
          <w:sz w:val="17"/>
          <w:szCs w:val="17"/>
          <w:color w:val="auto"/>
        </w:rPr>
      </w:pPr>
    </w:p>
    <w:p>
      <w:pPr>
        <w:ind w:right="80" w:firstLine="436"/>
        <w:spacing w:after="0" w:line="277" w:lineRule="auto"/>
        <w:tabs>
          <w:tab w:leader="none" w:pos="71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70" w:lineRule="exact"/>
        <w:rPr>
          <w:rFonts w:ascii="Arial" w:cs="Arial" w:eastAsia="Arial" w:hAnsi="Arial"/>
          <w:sz w:val="18"/>
          <w:szCs w:val="18"/>
          <w:color w:val="auto"/>
        </w:rPr>
      </w:pPr>
    </w:p>
    <w:p>
      <w:pPr>
        <w:ind w:right="20" w:firstLine="436"/>
        <w:spacing w:after="0" w:line="268" w:lineRule="auto"/>
        <w:tabs>
          <w:tab w:leader="none" w:pos="71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Severability; Waiver</w:t>
      </w:r>
      <w:r>
        <w:rPr>
          <w:rFonts w:ascii="Arial" w:cs="Arial" w:eastAsia="Arial" w:hAnsi="Arial"/>
          <w:sz w:val="17"/>
          <w:szCs w:val="17"/>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of this Agreement may be amended by either party from time to time by sending a notice containing a revised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to the other party in the manner provided in Section 12 and, upon such amendment, all references herein to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shall automatically be deemed to refer to such amended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00" w:name="page101"/>
    <w:bookmarkEnd w:id="100"/>
    <w:p>
      <w:pPr>
        <w:ind w:right="160" w:firstLine="436"/>
        <w:spacing w:after="0" w:line="256" w:lineRule="auto"/>
        <w:tabs>
          <w:tab w:leader="none" w:pos="71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91" w:lineRule="exact"/>
        <w:rPr>
          <w:rFonts w:ascii="Arial" w:cs="Arial" w:eastAsia="Arial" w:hAnsi="Arial"/>
          <w:sz w:val="18"/>
          <w:szCs w:val="18"/>
          <w:color w:val="auto"/>
        </w:rPr>
      </w:pPr>
    </w:p>
    <w:p>
      <w:pPr>
        <w:jc w:val="both"/>
        <w:ind w:right="80" w:firstLine="436"/>
        <w:spacing w:after="0" w:line="286" w:lineRule="auto"/>
        <w:tabs>
          <w:tab w:leader="none" w:pos="71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92" w:lineRule="exact"/>
        <w:rPr>
          <w:rFonts w:ascii="Arial" w:cs="Arial" w:eastAsia="Arial" w:hAnsi="Arial"/>
          <w:sz w:val="16"/>
          <w:szCs w:val="16"/>
          <w:color w:val="auto"/>
        </w:rPr>
      </w:pPr>
    </w:p>
    <w:p>
      <w:pPr>
        <w:ind w:left="700" w:hanging="264"/>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Words defined in the singular shall have a comparable meaning when used in the plural, and vice versa.</w:t>
      </w:r>
    </w:p>
    <w:p>
      <w:pPr>
        <w:spacing w:after="0" w:line="117" w:lineRule="exact"/>
        <w:rPr>
          <w:rFonts w:ascii="Arial" w:cs="Arial" w:eastAsia="Arial" w:hAnsi="Arial"/>
          <w:sz w:val="18"/>
          <w:szCs w:val="18"/>
          <w:color w:val="auto"/>
        </w:rPr>
      </w:pPr>
    </w:p>
    <w:p>
      <w:pPr>
        <w:ind w:right="740" w:firstLine="436"/>
        <w:spacing w:after="0" w:line="277" w:lineRule="auto"/>
        <w:tabs>
          <w:tab w:leader="none" w:pos="6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62"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Wherever the word “include,” “includes” or “including” is used in this Agreement, it shall be deemed to be followed by the words “without limitation.”</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117" w:lineRule="exact"/>
        <w:rPr>
          <w:rFonts w:ascii="Arial" w:cs="Arial" w:eastAsia="Arial" w:hAnsi="Arial"/>
          <w:sz w:val="18"/>
          <w:szCs w:val="18"/>
          <w:color w:val="auto"/>
        </w:rPr>
      </w:pPr>
    </w:p>
    <w:p>
      <w:pPr>
        <w:jc w:val="both"/>
        <w:ind w:right="140" w:firstLine="436"/>
        <w:spacing w:after="0" w:line="311" w:lineRule="auto"/>
        <w:tabs>
          <w:tab w:leader="none" w:pos="66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49" w:lineRule="exact"/>
        <w:rPr>
          <w:sz w:val="20"/>
          <w:szCs w:val="20"/>
          <w:color w:val="auto"/>
        </w:rPr>
      </w:pPr>
    </w:p>
    <w:p>
      <w:pPr>
        <w:ind w:firstLine="436"/>
        <w:spacing w:after="0" w:line="254" w:lineRule="auto"/>
        <w:tabs>
          <w:tab w:leader="none" w:pos="71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8"/>
          <w:szCs w:val="18"/>
          <w:b w:val="1"/>
          <w:bCs w:val="1"/>
          <w:u w:val="single" w:color="auto"/>
          <w:color w:val="auto"/>
        </w:rPr>
        <w:t>Permitted Free Writing Prospectus</w:t>
      </w:r>
      <w:r>
        <w:rPr>
          <w:rFonts w:ascii="Arial" w:cs="Arial" w:eastAsia="Arial" w:hAnsi="Arial"/>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0" w:right="43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17" w:lineRule="exact"/>
        <w:rPr>
          <w:sz w:val="20"/>
          <w:szCs w:val="20"/>
          <w:color w:val="auto"/>
        </w:rPr>
      </w:pPr>
    </w:p>
    <w:p>
      <w:pPr>
        <w:ind w:firstLine="436"/>
        <w:spacing w:after="0" w:line="296" w:lineRule="auto"/>
        <w:tabs>
          <w:tab w:leader="none" w:pos="6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53"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right="160" w:firstLine="436"/>
        <w:spacing w:after="0" w:line="342" w:lineRule="auto"/>
        <w:tabs>
          <w:tab w:leader="none" w:pos="6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5" w:lineRule="exact"/>
        <w:rPr>
          <w:rFonts w:ascii="Arial" w:cs="Arial" w:eastAsia="Arial" w:hAnsi="Arial"/>
          <w:sz w:val="16"/>
          <w:szCs w:val="16"/>
          <w:color w:val="auto"/>
        </w:rPr>
      </w:pPr>
    </w:p>
    <w:p>
      <w:pPr>
        <w:jc w:val="both"/>
        <w:ind w:right="200" w:firstLine="436"/>
        <w:spacing w:after="0" w:line="263"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75" w:lineRule="exact"/>
        <w:rPr>
          <w:rFonts w:ascii="Arial" w:cs="Arial" w:eastAsia="Arial" w:hAnsi="Arial"/>
          <w:sz w:val="18"/>
          <w:szCs w:val="18"/>
          <w:color w:val="auto"/>
        </w:rPr>
      </w:pPr>
    </w:p>
    <w:p>
      <w:pPr>
        <w:ind w:right="140" w:firstLine="436"/>
        <w:spacing w:after="0" w:line="301" w:lineRule="auto"/>
        <w:tabs>
          <w:tab w:leader="none" w:pos="6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57" w:lineRule="exact"/>
        <w:rPr>
          <w:sz w:val="20"/>
          <w:szCs w:val="20"/>
          <w:color w:val="auto"/>
        </w:rPr>
      </w:pPr>
    </w:p>
    <w:p>
      <w:pPr>
        <w:ind w:right="40" w:firstLine="436"/>
        <w:spacing w:after="0" w:line="259" w:lineRule="auto"/>
        <w:tabs>
          <w:tab w:leader="none" w:pos="71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02" w:name="page103"/>
    <w:bookmarkEnd w:id="102"/>
    <w:p>
      <w:pPr>
        <w:ind w:left="4"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2" w:lineRule="exact"/>
        <w:rPr>
          <w:rFonts w:ascii="Arial" w:cs="Arial" w:eastAsia="Arial" w:hAnsi="Arial"/>
          <w:sz w:val="18"/>
          <w:szCs w:val="18"/>
          <w:color w:val="auto"/>
        </w:rPr>
      </w:pPr>
    </w:p>
    <w:p>
      <w:pPr>
        <w:ind w:left="4" w:right="40" w:firstLine="436"/>
        <w:spacing w:after="0" w:line="255" w:lineRule="auto"/>
        <w:tabs>
          <w:tab w:leader="none" w:pos="71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2" w:lineRule="exact"/>
        <w:rPr>
          <w:rFonts w:ascii="Arial" w:cs="Arial" w:eastAsia="Arial" w:hAnsi="Arial"/>
          <w:sz w:val="18"/>
          <w:szCs w:val="18"/>
          <w:color w:val="auto"/>
        </w:rPr>
      </w:pPr>
    </w:p>
    <w:p>
      <w:pPr>
        <w:ind w:left="4" w:right="100" w:firstLine="436"/>
        <w:spacing w:after="0" w:line="263" w:lineRule="auto"/>
        <w:tabs>
          <w:tab w:leader="none" w:pos="71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9" w:lineRule="exact"/>
        <w:rPr>
          <w:rFonts w:ascii="Arial" w:cs="Arial" w:eastAsia="Arial" w:hAnsi="Arial"/>
          <w:sz w:val="18"/>
          <w:szCs w:val="18"/>
          <w:color w:val="auto"/>
        </w:rPr>
      </w:pPr>
    </w:p>
    <w:p>
      <w:pPr>
        <w:ind w:left="4" w:firstLine="436"/>
        <w:spacing w:after="0" w:line="282" w:lineRule="auto"/>
        <w:tabs>
          <w:tab w:leader="none" w:pos="71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Agent’s Information</w:t>
      </w:r>
      <w:r>
        <w:rPr>
          <w:rFonts w:ascii="Arial" w:cs="Arial" w:eastAsia="Arial" w:hAnsi="Arial"/>
          <w:sz w:val="18"/>
          <w:szCs w:val="18"/>
          <w:color w:val="auto"/>
        </w:rPr>
        <w:t>. As used in this Agreement, “</w:t>
      </w:r>
      <w:r>
        <w:rPr>
          <w:rFonts w:ascii="Arial" w:cs="Arial" w:eastAsia="Arial" w:hAnsi="Arial"/>
          <w:sz w:val="18"/>
          <w:szCs w:val="18"/>
          <w:b w:val="1"/>
          <w:bCs w:val="1"/>
          <w:u w:val="single" w:color="auto"/>
          <w:color w:val="auto"/>
        </w:rPr>
        <w:t>Agent’s Information</w:t>
      </w:r>
      <w:r>
        <w:rPr>
          <w:rFonts w:ascii="Arial" w:cs="Arial" w:eastAsia="Arial" w:hAnsi="Arial"/>
          <w:sz w:val="18"/>
          <w:szCs w:val="18"/>
          <w:color w:val="auto"/>
        </w:rPr>
        <w:t>” means solely the following information in the Registration Statement and the Prospectus: the eleventh paragraph under the heading “Plan of Distribution” in the Prospectus Supplement.</w:t>
      </w:r>
    </w:p>
    <w:p>
      <w:pPr>
        <w:spacing w:after="0" w:line="166"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103" w:name="page104"/>
    <w:bookmarkEnd w:id="10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WEREWOLF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J. Hicklin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J. Hicklin,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first-above written: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SVB SECURITIES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M. Fry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Head of Alternative Equities</w:t>
      </w:r>
    </w:p>
    <w:p>
      <w:pPr>
        <w:sectPr>
          <w:pgSz w:w="11900" w:h="16838" w:orient="portrait"/>
          <w:cols w:equalWidth="0" w:num="1">
            <w:col w:w="10980"/>
          </w:cols>
          <w:pgMar w:left="440" w:top="274" w:right="4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FORM OF PLACEMENT NOTICE</w:t>
            </w:r>
          </w:p>
        </w:tc>
      </w:tr>
      <w:tr>
        <w:trPr>
          <w:trHeight w:val="465"/>
        </w:trPr>
        <w:tc>
          <w:tcPr>
            <w:tcW w:w="1400" w:type="dxa"/>
            <w:vAlign w:val="bottom"/>
          </w:tcPr>
          <w:p>
            <w:pPr>
              <w:spacing w:after="0"/>
              <w:rPr>
                <w:sz w:val="20"/>
                <w:szCs w:val="20"/>
                <w:color w:val="auto"/>
              </w:rPr>
            </w:pPr>
            <w:r>
              <w:rPr>
                <w:rFonts w:ascii="Arial" w:cs="Arial" w:eastAsia="Arial" w:hAnsi="Arial"/>
                <w:sz w:val="18"/>
                <w:szCs w:val="18"/>
                <w:color w:val="auto"/>
              </w:rPr>
              <w:t>From:</w:t>
            </w:r>
          </w:p>
        </w:tc>
        <w:tc>
          <w:tcPr>
            <w:tcW w:w="2700" w:type="dxa"/>
            <w:vAlign w:val="bottom"/>
          </w:tcPr>
          <w:p>
            <w:pPr>
              <w:ind w:left="820"/>
              <w:spacing w:after="0"/>
              <w:rPr>
                <w:sz w:val="20"/>
                <w:szCs w:val="20"/>
                <w:color w:val="auto"/>
              </w:rPr>
            </w:pPr>
            <w:r>
              <w:rPr>
                <w:rFonts w:ascii="Arial" w:cs="Arial" w:eastAsia="Arial" w:hAnsi="Arial"/>
                <w:sz w:val="18"/>
                <w:szCs w:val="18"/>
                <w:color w:val="auto"/>
              </w:rPr>
              <w:t>[</w:t>
            </w:r>
          </w:p>
        </w:tc>
        <w:tc>
          <w:tcPr>
            <w:tcW w:w="28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18"/>
                <w:szCs w:val="18"/>
                <w:color w:val="auto"/>
              </w:rPr>
            </w:pPr>
          </w:p>
        </w:tc>
        <w:tc>
          <w:tcPr>
            <w:tcW w:w="2700" w:type="dxa"/>
            <w:vAlign w:val="bottom"/>
          </w:tcPr>
          <w:p>
            <w:pPr>
              <w:ind w:left="820"/>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5500" w:type="dxa"/>
            <w:vAlign w:val="bottom"/>
            <w:gridSpan w:val="2"/>
          </w:tcPr>
          <w:p>
            <w:pPr>
              <w:ind w:left="820"/>
              <w:spacing w:after="0"/>
              <w:rPr>
                <w:sz w:val="20"/>
                <w:szCs w:val="20"/>
                <w:color w:val="auto"/>
              </w:rPr>
            </w:pPr>
            <w:r>
              <w:rPr>
                <w:rFonts w:ascii="Arial" w:cs="Arial" w:eastAsia="Arial" w:hAnsi="Arial"/>
                <w:sz w:val="18"/>
                <w:szCs w:val="18"/>
                <w:color w:val="auto"/>
              </w:rPr>
              <w:t>Werewolf Therapeutics, Inc.</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Cc:</w:t>
            </w:r>
          </w:p>
        </w:tc>
        <w:tc>
          <w:tcPr>
            <w:tcW w:w="2700" w:type="dxa"/>
            <w:vAlign w:val="bottom"/>
          </w:tcPr>
          <w:p>
            <w:pPr>
              <w:ind w:left="820"/>
              <w:spacing w:after="0"/>
              <w:rPr>
                <w:sz w:val="20"/>
                <w:szCs w:val="20"/>
                <w:color w:val="auto"/>
              </w:rPr>
            </w:pPr>
            <w:r>
              <w:rPr>
                <w:rFonts w:ascii="Arial" w:cs="Arial" w:eastAsia="Arial" w:hAnsi="Arial"/>
                <w:sz w:val="18"/>
                <w:szCs w:val="18"/>
                <w:color w:val="auto"/>
              </w:rPr>
              <w:t>[</w:t>
            </w:r>
          </w:p>
        </w:tc>
        <w:tc>
          <w:tcPr>
            <w:tcW w:w="28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To:</w:t>
            </w:r>
          </w:p>
        </w:tc>
        <w:tc>
          <w:tcPr>
            <w:tcW w:w="2700" w:type="dxa"/>
            <w:vAlign w:val="bottom"/>
          </w:tcPr>
          <w:p>
            <w:pPr>
              <w:ind w:left="820"/>
              <w:spacing w:after="0"/>
              <w:rPr>
                <w:sz w:val="20"/>
                <w:szCs w:val="20"/>
                <w:color w:val="auto"/>
              </w:rPr>
            </w:pPr>
            <w:r>
              <w:rPr>
                <w:rFonts w:ascii="Arial" w:cs="Arial" w:eastAsia="Arial" w:hAnsi="Arial"/>
                <w:sz w:val="18"/>
                <w:szCs w:val="18"/>
                <w:color w:val="auto"/>
              </w:rPr>
              <w:t>SVB Securities LLC</w:t>
            </w:r>
          </w:p>
        </w:tc>
        <w:tc>
          <w:tcPr>
            <w:tcW w:w="280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Subject:</w:t>
            </w:r>
          </w:p>
        </w:tc>
        <w:tc>
          <w:tcPr>
            <w:tcW w:w="5500" w:type="dxa"/>
            <w:vAlign w:val="bottom"/>
            <w:gridSpan w:val="2"/>
          </w:tcPr>
          <w:p>
            <w:pPr>
              <w:ind w:left="820"/>
              <w:spacing w:after="0"/>
              <w:rPr>
                <w:sz w:val="20"/>
                <w:szCs w:val="20"/>
                <w:color w:val="auto"/>
              </w:rPr>
            </w:pPr>
            <w:r>
              <w:rPr>
                <w:rFonts w:ascii="Arial" w:cs="Arial" w:eastAsia="Arial" w:hAnsi="Arial"/>
                <w:sz w:val="18"/>
                <w:szCs w:val="18"/>
                <w:color w:val="auto"/>
                <w:w w:val="98"/>
              </w:rPr>
              <w:t>SVB Securities—At the Market Offering—Placement Notice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the terms and subject to the conditions contained in the Sales Agreement, dated May 10, 2022 (the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by and between Werewolf Therapeutics,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and SVB Securities LLC (“</w:t>
      </w:r>
      <w:r>
        <w:rPr>
          <w:rFonts w:ascii="Arial" w:cs="Arial" w:eastAsia="Arial" w:hAnsi="Arial"/>
          <w:sz w:val="16"/>
          <w:szCs w:val="16"/>
          <w:b w:val="1"/>
          <w:bCs w:val="1"/>
          <w:u w:val="single" w:color="auto"/>
          <w:color w:val="auto"/>
        </w:rPr>
        <w:t>SVB Securities</w:t>
      </w:r>
      <w:r>
        <w:rPr>
          <w:rFonts w:ascii="Arial" w:cs="Arial" w:eastAsia="Arial" w:hAnsi="Arial"/>
          <w:sz w:val="16"/>
          <w:szCs w:val="16"/>
          <w:color w:val="auto"/>
        </w:rPr>
        <w:t>”), I hereby request on behalf of the Company that SVB Securities sell up to [ ] shares of common stock, $0.0001 par value per share, of the Company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at a minimum market</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price of $ 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70"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 J. Hicklin (DHicklin@werewolftx.com)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Trost (TTrost@werewolftx.com)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SVB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Mairin Rooney (Mairin.Rooney@svbsecurities.com)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atm@svbsecurities.com</w:t>
      </w:r>
    </w:p>
    <w:p>
      <w:pPr>
        <w:sectPr>
          <w:pgSz w:w="11900" w:h="16838" w:orient="portrait"/>
          <w:cols w:equalWidth="0" w:num="1">
            <w:col w:w="11020"/>
          </w:cols>
          <w:pgMar w:left="440" w:top="270"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Company shall pay SVB Securities compensation in cash equal to 3.0% of the gross proceeds from the sales of Placement Shares pursuant to the terms of the Sales Agreement of which this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forms a part.</w:t>
      </w:r>
    </w:p>
    <w:p>
      <w:pPr>
        <w:sectPr>
          <w:pgSz w:w="11900" w:h="16838" w:orient="portrait"/>
          <w:cols w:equalWidth="0" w:num="1">
            <w:col w:w="11020"/>
          </w:cols>
          <w:pgMar w:left="440" w:top="270"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Each of Daniel J. Hicklin, Ph.D., the duly qualified and elected President and Chief Executive Officer of Werewolf Therapeutics,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Tim Trost, the duly qualified and elected Chief Financial Officer of the Company, does hereby certify in his respective capacity and on behalf of the Company, pursuant to Section 7(m) of the Sales Agreement, dated May 10, 2022 (the “</w:t>
      </w:r>
      <w:r>
        <w:rPr>
          <w:rFonts w:ascii="Arial" w:cs="Arial" w:eastAsia="Arial" w:hAnsi="Arial"/>
          <w:sz w:val="17"/>
          <w:szCs w:val="17"/>
          <w:b w:val="1"/>
          <w:bCs w:val="1"/>
          <w:u w:val="single" w:color="auto"/>
          <w:color w:val="auto"/>
        </w:rPr>
        <w:t>Sales Agreement</w:t>
      </w:r>
      <w:r>
        <w:rPr>
          <w:rFonts w:ascii="Arial" w:cs="Arial" w:eastAsia="Arial" w:hAnsi="Arial"/>
          <w:sz w:val="17"/>
          <w:szCs w:val="17"/>
          <w:color w:val="auto"/>
        </w:rPr>
        <w:t>”), by and between the Company and SVB Securities LLC, that, after due inquiry, to the best of the knowledge of the undersigned:</w:t>
      </w:r>
    </w:p>
    <w:p>
      <w:pPr>
        <w:spacing w:after="0" w:line="63" w:lineRule="exact"/>
        <w:rPr>
          <w:sz w:val="20"/>
          <w:szCs w:val="20"/>
          <w:color w:val="auto"/>
        </w:rPr>
      </w:pPr>
    </w:p>
    <w:p>
      <w:pPr>
        <w:ind w:right="20" w:firstLine="436"/>
        <w:spacing w:after="0" w:line="296" w:lineRule="auto"/>
        <w:tabs>
          <w:tab w:leader="none" w:pos="6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in Section 6 of the Sales Agreement (A) to the extent such representations and warranties are subject to qualifications and exceptions contained therein relating to materiality or a Material Adverse Change, are true and correct on and as of the date hereof with the same force and effect as if expressly made on and as of the date hereof, and (B) to the extent such representations and warranties are not subject to any qualifications or exceptions relating to materiality or a Material Adverse Change, are true and correct in all material respects as of the date hereof as if made on and as of the date hereof with the same force and effect as if expressly made on and as of the date hereof.</w:t>
      </w:r>
    </w:p>
    <w:p>
      <w:pPr>
        <w:spacing w:after="0" w:line="53" w:lineRule="exact"/>
        <w:rPr>
          <w:rFonts w:ascii="Arial" w:cs="Arial" w:eastAsia="Arial" w:hAnsi="Arial"/>
          <w:sz w:val="16"/>
          <w:szCs w:val="16"/>
          <w:color w:val="auto"/>
        </w:rPr>
      </w:pPr>
    </w:p>
    <w:p>
      <w:pPr>
        <w:ind w:right="540" w:firstLine="436"/>
        <w:spacing w:after="0" w:line="25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ate hereof.</w:t>
      </w:r>
    </w:p>
    <w:p>
      <w:pPr>
        <w:spacing w:after="0" w:line="102" w:lineRule="exact"/>
        <w:rPr>
          <w:rFonts w:ascii="Arial" w:cs="Arial" w:eastAsia="Arial" w:hAnsi="Arial"/>
          <w:sz w:val="18"/>
          <w:szCs w:val="18"/>
          <w:color w:val="auto"/>
        </w:rPr>
      </w:pPr>
    </w:p>
    <w:p>
      <w:pPr>
        <w:ind w:right="20" w:firstLine="436"/>
        <w:spacing w:after="0" w:line="254" w:lineRule="auto"/>
        <w:tabs>
          <w:tab w:leader="none" w:pos="7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86" w:lineRule="exact"/>
        <w:rPr>
          <w:rFonts w:ascii="Arial" w:cs="Arial" w:eastAsia="Arial" w:hAnsi="Arial"/>
          <w:sz w:val="18"/>
          <w:szCs w:val="18"/>
          <w:color w:val="auto"/>
        </w:rPr>
      </w:pPr>
    </w:p>
    <w:p>
      <w:pPr>
        <w:ind w:right="80" w:firstLine="436"/>
        <w:spacing w:after="0" w:line="311" w:lineRule="auto"/>
        <w:tabs>
          <w:tab w:leader="none" w:pos="7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 has been no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40" w:lineRule="exact"/>
        <w:rPr>
          <w:rFonts w:ascii="Arial" w:cs="Arial" w:eastAsia="Arial" w:hAnsi="Arial"/>
          <w:sz w:val="16"/>
          <w:szCs w:val="16"/>
          <w:color w:val="auto"/>
        </w:rPr>
      </w:pPr>
    </w:p>
    <w:p>
      <w:pPr>
        <w:ind w:left="680" w:hanging="244"/>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does not possess any material non-public information.</w:t>
      </w:r>
    </w:p>
    <w:p>
      <w:pPr>
        <w:spacing w:after="0" w:line="117" w:lineRule="exact"/>
        <w:rPr>
          <w:rFonts w:ascii="Arial" w:cs="Arial" w:eastAsia="Arial" w:hAnsi="Arial"/>
          <w:sz w:val="18"/>
          <w:szCs w:val="18"/>
          <w:color w:val="auto"/>
        </w:rPr>
      </w:pPr>
    </w:p>
    <w:p>
      <w:pPr>
        <w:ind w:right="320" w:firstLine="436"/>
        <w:spacing w:after="0" w:line="263" w:lineRule="auto"/>
        <w:tabs>
          <w:tab w:leader="none" w:pos="7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restated certificate of incorporation, amended and restated bylaws and applicable law.</w:t>
      </w:r>
    </w:p>
    <w:p>
      <w:pPr>
        <w:sectPr>
          <w:pgSz w:w="11900" w:h="16838" w:orient="portrait"/>
          <w:cols w:equalWidth="0" w:num="1">
            <w:col w:w="11020"/>
          </w:cols>
          <w:pgMar w:left="440" w:top="270" w:right="439" w:bottom="1440" w:gutter="0" w:footer="0" w:header="0"/>
        </w:sectPr>
      </w:pPr>
    </w:p>
    <w:bookmarkStart w:id="108" w:name="page109"/>
    <w:bookmarkEnd w:id="10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Wilmer Cutler Pickering Hale and Dorr LLP and Cooley LLP are entitled to rely on this certificate in connection with the respective opinions such firms are rendering pursuant to the Sales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defined herein shall have the meanings ascribed to them in the Sales Agreement.</w:t>
      </w:r>
    </w:p>
    <w:p>
      <w:pPr>
        <w:sectPr>
          <w:pgSz w:w="11900" w:h="16838" w:orient="portrait"/>
          <w:cols w:equalWidth="0" w:num="1">
            <w:col w:w="11000"/>
          </w:cols>
          <w:pgMar w:left="440" w:top="274" w:right="459" w:bottom="1440" w:gutter="0" w:footer="0" w:header="0"/>
        </w:sectPr>
      </w:pPr>
    </w:p>
    <w:bookmarkStart w:id="109" w:name="page110"/>
    <w:bookmarkEnd w:id="10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in such individual’s respective capacity as Chief Executive Officer or Chief Financial Officer of the Company, has executed this Officers’ Certificate on behalf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J. Hicklin,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&amp;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Trost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4" w:right="4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WEREWOLF THERAPEUTICS,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_______________</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111" w:name="page112"/>
    <w:bookmarkEnd w:id="111"/>
    <w:tbl>
      <w:tblPr>
        <w:tblLayout w:type="fixed"/>
        <w:tblInd w:w="4" w:type="dxa"/>
        <w:tblCellMar>
          <w:top w:w="0" w:type="dxa"/>
          <w:left w:w="0" w:type="dxa"/>
          <w:bottom w:w="0" w:type="dxa"/>
          <w:right w:w="0" w:type="dxa"/>
        </w:tblCellMar>
      </w:tblPr>
      <w:tr>
        <w:trPr>
          <w:trHeight w:val="240"/>
        </w:trPr>
        <w:tc>
          <w:tcPr>
            <w:tcW w:w="426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CROSS-REFERENCE TABLE</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1</w:t>
            </w:r>
          </w:p>
        </w:tc>
        <w:tc>
          <w:tcPr>
            <w:tcW w:w="4280" w:type="dxa"/>
            <w:vAlign w:val="bottom"/>
            <w:gridSpan w:val="3"/>
          </w:tcPr>
          <w:p>
            <w:pPr>
              <w:spacing w:after="0"/>
              <w:rPr>
                <w:sz w:val="20"/>
                <w:szCs w:val="20"/>
                <w:color w:val="auto"/>
              </w:rPr>
            </w:pPr>
          </w:p>
        </w:tc>
      </w:tr>
      <w:tr>
        <w:trPr>
          <w:trHeight w:val="393"/>
        </w:trPr>
        <w:tc>
          <w:tcPr>
            <w:tcW w:w="4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Section of</w:t>
            </w:r>
          </w:p>
        </w:tc>
      </w:tr>
      <w:tr>
        <w:trPr>
          <w:trHeight w:val="181"/>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Section of Trust Indenture Act of 1939, as amended</w:t>
            </w:r>
          </w:p>
        </w:tc>
        <w:tc>
          <w:tcPr>
            <w:tcW w:w="2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w:t>
            </w:r>
          </w:p>
        </w:tc>
      </w:tr>
      <w:tr>
        <w:trPr>
          <w:trHeight w:val="195"/>
        </w:trPr>
        <w:tc>
          <w:tcPr>
            <w:tcW w:w="426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6.09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310(b)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6.08</w:t>
            </w:r>
          </w:p>
        </w:tc>
      </w:tr>
      <w:tr>
        <w:trPr>
          <w:trHeight w:val="216"/>
        </w:trPr>
        <w:tc>
          <w:tcPr>
            <w:tcW w:w="4260" w:type="dxa"/>
            <w:vAlign w:val="bottom"/>
          </w:tcPr>
          <w:p>
            <w:pPr>
              <w:spacing w:after="0"/>
              <w:rPr>
                <w:sz w:val="18"/>
                <w:szCs w:val="18"/>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6.10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310(c)</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311(a)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6.13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311(b)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6.13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311(c)</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312(a)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4.01</w:t>
            </w:r>
          </w:p>
        </w:tc>
      </w:tr>
      <w:tr>
        <w:trPr>
          <w:trHeight w:val="229"/>
        </w:trPr>
        <w:tc>
          <w:tcPr>
            <w:tcW w:w="4260" w:type="dxa"/>
            <w:vAlign w:val="bottom"/>
          </w:tcPr>
          <w:p>
            <w:pPr>
              <w:spacing w:after="0"/>
              <w:rPr>
                <w:sz w:val="19"/>
                <w:szCs w:val="19"/>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312(b)</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4.04(c)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312(c)</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4.04(c)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313(a)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313(b)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313(c)</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313(d)</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4.02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314(b)</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314(c)</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2.04</w:t>
            </w:r>
          </w:p>
        </w:tc>
      </w:tr>
      <w:tr>
        <w:trPr>
          <w:trHeight w:val="216"/>
        </w:trPr>
        <w:tc>
          <w:tcPr>
            <w:tcW w:w="4260" w:type="dxa"/>
            <w:vAlign w:val="bottom"/>
          </w:tcPr>
          <w:p>
            <w:pPr>
              <w:spacing w:after="0"/>
              <w:rPr>
                <w:sz w:val="18"/>
                <w:szCs w:val="18"/>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8.04</w:t>
            </w:r>
          </w:p>
        </w:tc>
      </w:tr>
      <w:tr>
        <w:trPr>
          <w:trHeight w:val="216"/>
        </w:trPr>
        <w:tc>
          <w:tcPr>
            <w:tcW w:w="4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9.01(c)</w:t>
            </w:r>
          </w:p>
        </w:tc>
      </w:tr>
      <w:tr>
        <w:trPr>
          <w:trHeight w:val="216"/>
        </w:trPr>
        <w:tc>
          <w:tcPr>
            <w:tcW w:w="4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10.01(b)</w:t>
            </w:r>
          </w:p>
        </w:tc>
      </w:tr>
      <w:tr>
        <w:trPr>
          <w:trHeight w:val="230"/>
        </w:trPr>
        <w:tc>
          <w:tcPr>
            <w:tcW w:w="4260" w:type="dxa"/>
            <w:vAlign w:val="bottom"/>
          </w:tcPr>
          <w:p>
            <w:pPr>
              <w:spacing w:after="0"/>
              <w:rPr>
                <w:sz w:val="19"/>
                <w:szCs w:val="19"/>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11.05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314(d)</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314(e)</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11.05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314(f)</w:t>
            </w: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315(a)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6.01</w:t>
            </w:r>
          </w:p>
        </w:tc>
      </w:tr>
      <w:tr>
        <w:trPr>
          <w:trHeight w:val="229"/>
        </w:trPr>
        <w:tc>
          <w:tcPr>
            <w:tcW w:w="4260" w:type="dxa"/>
            <w:vAlign w:val="bottom"/>
          </w:tcPr>
          <w:p>
            <w:pPr>
              <w:spacing w:after="0"/>
              <w:rPr>
                <w:sz w:val="19"/>
                <w:szCs w:val="19"/>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315(b)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5.11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315(c)</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315(d)</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6.01</w:t>
            </w:r>
          </w:p>
        </w:tc>
      </w:tr>
      <w:tr>
        <w:trPr>
          <w:trHeight w:val="216"/>
        </w:trPr>
        <w:tc>
          <w:tcPr>
            <w:tcW w:w="4260" w:type="dxa"/>
            <w:vAlign w:val="bottom"/>
          </w:tcPr>
          <w:p>
            <w:pPr>
              <w:spacing w:after="0"/>
              <w:rPr>
                <w:sz w:val="18"/>
                <w:szCs w:val="18"/>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6.02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315(e)</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316(a)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5.09</w:t>
            </w:r>
          </w:p>
        </w:tc>
      </w:tr>
      <w:tr>
        <w:trPr>
          <w:trHeight w:val="229"/>
        </w:trPr>
        <w:tc>
          <w:tcPr>
            <w:tcW w:w="4260" w:type="dxa"/>
            <w:vAlign w:val="bottom"/>
          </w:tcPr>
          <w:p>
            <w:pPr>
              <w:spacing w:after="0"/>
              <w:rPr>
                <w:sz w:val="19"/>
                <w:szCs w:val="19"/>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5.10</w:t>
            </w:r>
          </w:p>
        </w:tc>
      </w:tr>
      <w:tr>
        <w:trPr>
          <w:trHeight w:val="216"/>
        </w:trPr>
        <w:tc>
          <w:tcPr>
            <w:tcW w:w="4260" w:type="dxa"/>
            <w:vAlign w:val="bottom"/>
          </w:tcPr>
          <w:p>
            <w:pPr>
              <w:spacing w:after="0"/>
              <w:rPr>
                <w:sz w:val="18"/>
                <w:szCs w:val="18"/>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7.04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316(b)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5.06</w:t>
            </w:r>
          </w:p>
        </w:tc>
      </w:tr>
      <w:tr>
        <w:trPr>
          <w:trHeight w:val="230"/>
        </w:trPr>
        <w:tc>
          <w:tcPr>
            <w:tcW w:w="4260" w:type="dxa"/>
            <w:vAlign w:val="bottom"/>
          </w:tcPr>
          <w:p>
            <w:pPr>
              <w:spacing w:after="0"/>
              <w:rPr>
                <w:sz w:val="19"/>
                <w:szCs w:val="19"/>
                <w:color w:val="auto"/>
              </w:rPr>
            </w:pP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5.10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316(c)</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7.02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317(a)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5.04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317(b)</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3.04</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318(a)</w:t>
            </w:r>
          </w:p>
        </w:tc>
        <w:tc>
          <w:tcPr>
            <w:tcW w:w="6760" w:type="dxa"/>
            <w:vAlign w:val="bottom"/>
            <w:gridSpan w:val="5"/>
          </w:tcPr>
          <w:p>
            <w:pPr>
              <w:ind w:left="5760"/>
              <w:spacing w:after="0"/>
              <w:rPr>
                <w:sz w:val="20"/>
                <w:szCs w:val="20"/>
                <w:color w:val="auto"/>
              </w:rPr>
            </w:pPr>
            <w:r>
              <w:rPr>
                <w:rFonts w:ascii="Arial" w:cs="Arial" w:eastAsia="Arial" w:hAnsi="Arial"/>
                <w:sz w:val="18"/>
                <w:szCs w:val="18"/>
                <w:color w:val="auto"/>
              </w:rPr>
              <w:t>11.07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right="600" w:hanging="224"/>
        <w:spacing w:after="0" w:line="277" w:lineRule="auto"/>
        <w:tabs>
          <w:tab w:leader="none" w:pos="2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23" w:right="4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772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w:t>
            </w:r>
          </w:p>
        </w:tc>
        <w:tc>
          <w:tcPr>
            <w:tcW w:w="1780" w:type="dxa"/>
            <w:vAlign w:val="bottom"/>
            <w:gridSpan w:val="3"/>
          </w:tcPr>
          <w:p>
            <w:pPr>
              <w:ind w:left="1400"/>
              <w:spacing w:after="0"/>
              <w:rPr>
                <w:sz w:val="20"/>
                <w:szCs w:val="20"/>
                <w:color w:val="auto"/>
              </w:rPr>
            </w:pPr>
            <w:r>
              <w:rPr>
                <w:rFonts w:ascii="Arial" w:cs="Arial" w:eastAsia="Arial" w:hAnsi="Arial"/>
                <w:sz w:val="14"/>
                <w:szCs w:val="14"/>
                <w:color w:val="auto"/>
                <w:w w:val="92"/>
              </w:rPr>
              <w:t>PAGE</w:t>
            </w:r>
          </w:p>
        </w:tc>
        <w:tc>
          <w:tcPr>
            <w:tcW w:w="0" w:type="dxa"/>
            <w:vAlign w:val="bottom"/>
          </w:tcPr>
          <w:p>
            <w:pPr>
              <w:spacing w:after="0"/>
              <w:rPr>
                <w:sz w:val="1"/>
                <w:szCs w:val="1"/>
                <w:color w:val="auto"/>
              </w:rPr>
            </w:pPr>
          </w:p>
        </w:tc>
      </w:tr>
      <w:tr>
        <w:trPr>
          <w:trHeight w:val="195"/>
        </w:trPr>
        <w:tc>
          <w:tcPr>
            <w:tcW w:w="920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720" w:type="dxa"/>
            <w:vAlign w:val="bottom"/>
          </w:tcPr>
          <w:p>
            <w:pPr>
              <w:ind w:left="240"/>
              <w:spacing w:after="0"/>
              <w:rPr>
                <w:sz w:val="20"/>
                <w:szCs w:val="20"/>
                <w:color w:val="auto"/>
              </w:rPr>
            </w:pPr>
            <w:r>
              <w:rPr>
                <w:rFonts w:ascii="Arial" w:cs="Arial" w:eastAsia="Arial" w:hAnsi="Arial"/>
                <w:sz w:val="18"/>
                <w:szCs w:val="18"/>
                <w:color w:val="auto"/>
              </w:rPr>
              <w:t>Certain Terms Defined</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ARTICLE 2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720" w:type="dxa"/>
            <w:vAlign w:val="bottom"/>
          </w:tcPr>
          <w:p>
            <w:pPr>
              <w:ind w:left="240"/>
              <w:spacing w:after="0"/>
              <w:rPr>
                <w:sz w:val="20"/>
                <w:szCs w:val="20"/>
                <w:color w:val="auto"/>
              </w:rPr>
            </w:pPr>
            <w:r>
              <w:rPr>
                <w:rFonts w:ascii="Arial" w:cs="Arial" w:eastAsia="Arial" w:hAnsi="Arial"/>
                <w:sz w:val="18"/>
                <w:szCs w:val="18"/>
                <w:color w:val="auto"/>
              </w:rPr>
              <w:t>Forms Generally</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72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72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720" w:type="dxa"/>
            <w:vAlign w:val="bottom"/>
          </w:tcPr>
          <w:p>
            <w:pPr>
              <w:ind w:left="240"/>
              <w:spacing w:after="0"/>
              <w:rPr>
                <w:sz w:val="20"/>
                <w:szCs w:val="20"/>
                <w:color w:val="auto"/>
              </w:rPr>
            </w:pPr>
            <w:r>
              <w:rPr>
                <w:rFonts w:ascii="Arial" w:cs="Arial" w:eastAsia="Arial" w:hAnsi="Arial"/>
                <w:sz w:val="18"/>
                <w:szCs w:val="18"/>
                <w:color w:val="auto"/>
              </w:rPr>
              <w:t>Authentication and Delivery of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720" w:type="dxa"/>
            <w:vAlign w:val="bottom"/>
          </w:tcPr>
          <w:p>
            <w:pPr>
              <w:ind w:left="240"/>
              <w:spacing w:after="0"/>
              <w:rPr>
                <w:sz w:val="20"/>
                <w:szCs w:val="20"/>
                <w:color w:val="auto"/>
              </w:rPr>
            </w:pPr>
            <w:r>
              <w:rPr>
                <w:rFonts w:ascii="Arial" w:cs="Arial" w:eastAsia="Arial" w:hAnsi="Arial"/>
                <w:sz w:val="18"/>
                <w:szCs w:val="18"/>
                <w:color w:val="auto"/>
              </w:rPr>
              <w:t>Execution of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720" w:type="dxa"/>
            <w:vAlign w:val="bottom"/>
          </w:tcPr>
          <w:p>
            <w:pPr>
              <w:ind w:left="240"/>
              <w:spacing w:after="0"/>
              <w:rPr>
                <w:sz w:val="20"/>
                <w:szCs w:val="20"/>
                <w:color w:val="auto"/>
              </w:rPr>
            </w:pPr>
            <w:r>
              <w:rPr>
                <w:rFonts w:ascii="Arial" w:cs="Arial" w:eastAsia="Arial" w:hAnsi="Arial"/>
                <w:sz w:val="18"/>
                <w:szCs w:val="18"/>
                <w:color w:val="auto"/>
              </w:rPr>
              <w:t>Certificate of Authentication</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720" w:type="dxa"/>
            <w:vAlign w:val="bottom"/>
          </w:tcPr>
          <w:p>
            <w:pPr>
              <w:ind w:left="240"/>
              <w:spacing w:after="0"/>
              <w:rPr>
                <w:sz w:val="20"/>
                <w:szCs w:val="20"/>
                <w:color w:val="auto"/>
              </w:rPr>
            </w:pPr>
            <w:r>
              <w:rPr>
                <w:rFonts w:ascii="Arial" w:cs="Arial" w:eastAsia="Arial" w:hAnsi="Arial"/>
                <w:sz w:val="18"/>
                <w:szCs w:val="18"/>
                <w:color w:val="auto"/>
              </w:rPr>
              <w:t>Denomination and Date of Securities; Payments of Interest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720" w:type="dxa"/>
            <w:vAlign w:val="bottom"/>
          </w:tcPr>
          <w:p>
            <w:pPr>
              <w:ind w:left="240"/>
              <w:spacing w:after="0"/>
              <w:rPr>
                <w:sz w:val="20"/>
                <w:szCs w:val="20"/>
                <w:color w:val="auto"/>
              </w:rPr>
            </w:pPr>
            <w:r>
              <w:rPr>
                <w:rFonts w:ascii="Arial" w:cs="Arial" w:eastAsia="Arial" w:hAnsi="Arial"/>
                <w:sz w:val="18"/>
                <w:szCs w:val="18"/>
                <w:color w:val="auto"/>
              </w:rPr>
              <w:t>Registration, Transfer and Exchange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720" w:type="dxa"/>
            <w:vAlign w:val="bottom"/>
          </w:tcPr>
          <w:p>
            <w:pPr>
              <w:ind w:left="240"/>
              <w:spacing w:after="0"/>
              <w:rPr>
                <w:sz w:val="20"/>
                <w:szCs w:val="20"/>
                <w:color w:val="auto"/>
              </w:rPr>
            </w:pPr>
            <w:r>
              <w:rPr>
                <w:rFonts w:ascii="Arial" w:cs="Arial" w:eastAsia="Arial" w:hAnsi="Arial"/>
                <w:sz w:val="18"/>
                <w:szCs w:val="18"/>
                <w:color w:val="auto"/>
              </w:rPr>
              <w:t>Mutilated, Defaced, Destroyed, Lost and Stolen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720" w:type="dxa"/>
            <w:vAlign w:val="bottom"/>
          </w:tcPr>
          <w:p>
            <w:pPr>
              <w:ind w:left="240"/>
              <w:spacing w:after="0"/>
              <w:rPr>
                <w:sz w:val="20"/>
                <w:szCs w:val="20"/>
                <w:color w:val="auto"/>
              </w:rPr>
            </w:pPr>
            <w:r>
              <w:rPr>
                <w:rFonts w:ascii="Arial" w:cs="Arial" w:eastAsia="Arial" w:hAnsi="Arial"/>
                <w:sz w:val="18"/>
                <w:szCs w:val="18"/>
                <w:color w:val="auto"/>
              </w:rPr>
              <w:t>Cancellation of Securities; Destruction Thereof</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72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72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ARTICLE 3 COVENANTS OF THE ISSUER</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720" w:type="dxa"/>
            <w:vAlign w:val="bottom"/>
          </w:tcPr>
          <w:p>
            <w:pPr>
              <w:ind w:left="240"/>
              <w:spacing w:after="0"/>
              <w:rPr>
                <w:sz w:val="20"/>
                <w:szCs w:val="20"/>
                <w:color w:val="auto"/>
              </w:rPr>
            </w:pPr>
            <w:r>
              <w:rPr>
                <w:rFonts w:ascii="Arial" w:cs="Arial" w:eastAsia="Arial" w:hAnsi="Arial"/>
                <w:sz w:val="18"/>
                <w:szCs w:val="18"/>
                <w:color w:val="auto"/>
              </w:rPr>
              <w:t>Payment of Principal and Interest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720" w:type="dxa"/>
            <w:vAlign w:val="bottom"/>
          </w:tcPr>
          <w:p>
            <w:pPr>
              <w:ind w:left="240"/>
              <w:spacing w:after="0"/>
              <w:rPr>
                <w:sz w:val="20"/>
                <w:szCs w:val="20"/>
                <w:color w:val="auto"/>
              </w:rPr>
            </w:pPr>
            <w:r>
              <w:rPr>
                <w:rFonts w:ascii="Arial" w:cs="Arial" w:eastAsia="Arial" w:hAnsi="Arial"/>
                <w:sz w:val="18"/>
                <w:szCs w:val="18"/>
                <w:color w:val="auto"/>
              </w:rPr>
              <w:t>Offices for Payments, Etc.</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720" w:type="dxa"/>
            <w:vAlign w:val="bottom"/>
          </w:tcPr>
          <w:p>
            <w:pPr>
              <w:ind w:left="240"/>
              <w:spacing w:after="0"/>
              <w:rPr>
                <w:sz w:val="20"/>
                <w:szCs w:val="20"/>
                <w:color w:val="auto"/>
              </w:rPr>
            </w:pPr>
            <w:r>
              <w:rPr>
                <w:rFonts w:ascii="Arial" w:cs="Arial" w:eastAsia="Arial" w:hAnsi="Arial"/>
                <w:sz w:val="18"/>
                <w:szCs w:val="18"/>
                <w:color w:val="auto"/>
              </w:rPr>
              <w:t>Appointment to Fill a Vacancy in Office of Trustee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720" w:type="dxa"/>
            <w:vAlign w:val="bottom"/>
          </w:tcPr>
          <w:p>
            <w:pPr>
              <w:ind w:left="240"/>
              <w:spacing w:after="0"/>
              <w:rPr>
                <w:sz w:val="20"/>
                <w:szCs w:val="20"/>
                <w:color w:val="auto"/>
              </w:rPr>
            </w:pPr>
            <w:r>
              <w:rPr>
                <w:rFonts w:ascii="Arial" w:cs="Arial" w:eastAsia="Arial" w:hAnsi="Arial"/>
                <w:sz w:val="18"/>
                <w:szCs w:val="18"/>
                <w:color w:val="auto"/>
              </w:rPr>
              <w:t>Paying Agents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720" w:type="dxa"/>
            <w:vAlign w:val="bottom"/>
          </w:tcPr>
          <w:p>
            <w:pPr>
              <w:ind w:left="240"/>
              <w:spacing w:after="0"/>
              <w:rPr>
                <w:sz w:val="20"/>
                <w:szCs w:val="20"/>
                <w:color w:val="auto"/>
              </w:rPr>
            </w:pPr>
            <w:r>
              <w:rPr>
                <w:rFonts w:ascii="Arial" w:cs="Arial" w:eastAsia="Arial" w:hAnsi="Arial"/>
                <w:sz w:val="18"/>
                <w:szCs w:val="18"/>
                <w:color w:val="auto"/>
              </w:rPr>
              <w:t>Written Statement to Trustee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ARTICLE 4 SECURITYHOLDERS LISTS AND REPORTS BY THE ISSUER AND THE TRUSTEE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720" w:type="dxa"/>
            <w:vAlign w:val="bottom"/>
          </w:tcPr>
          <w:p>
            <w:pPr>
              <w:ind w:left="240"/>
              <w:spacing w:after="0"/>
              <w:rPr>
                <w:sz w:val="20"/>
                <w:szCs w:val="20"/>
                <w:color w:val="auto"/>
              </w:rPr>
            </w:pPr>
            <w:r>
              <w:rPr>
                <w:rFonts w:ascii="Arial" w:cs="Arial" w:eastAsia="Arial" w:hAnsi="Arial"/>
                <w:sz w:val="18"/>
                <w:szCs w:val="18"/>
                <w:color w:val="auto"/>
              </w:rPr>
              <w:t>Issuer to Furnish Trustee Information as to Names and Addresses of Securityholders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720" w:type="dxa"/>
            <w:vAlign w:val="bottom"/>
          </w:tcPr>
          <w:p>
            <w:pPr>
              <w:ind w:left="240"/>
              <w:spacing w:after="0"/>
              <w:rPr>
                <w:sz w:val="20"/>
                <w:szCs w:val="20"/>
                <w:color w:val="auto"/>
              </w:rPr>
            </w:pPr>
            <w:r>
              <w:rPr>
                <w:rFonts w:ascii="Arial" w:cs="Arial" w:eastAsia="Arial" w:hAnsi="Arial"/>
                <w:sz w:val="18"/>
                <w:szCs w:val="18"/>
                <w:color w:val="auto"/>
              </w:rPr>
              <w:t>Reports by the Issuer</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720" w:type="dxa"/>
            <w:vAlign w:val="bottom"/>
          </w:tcPr>
          <w:p>
            <w:pPr>
              <w:ind w:left="240"/>
              <w:spacing w:after="0"/>
              <w:rPr>
                <w:sz w:val="20"/>
                <w:szCs w:val="20"/>
                <w:color w:val="auto"/>
              </w:rPr>
            </w:pPr>
            <w:r>
              <w:rPr>
                <w:rFonts w:ascii="Arial" w:cs="Arial" w:eastAsia="Arial" w:hAnsi="Arial"/>
                <w:sz w:val="18"/>
                <w:szCs w:val="18"/>
                <w:color w:val="auto"/>
              </w:rPr>
              <w:t>Reports by the Trustee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720" w:type="dxa"/>
            <w:vAlign w:val="bottom"/>
          </w:tcPr>
          <w:p>
            <w:pPr>
              <w:ind w:left="240"/>
              <w:spacing w:after="0"/>
              <w:rPr>
                <w:sz w:val="20"/>
                <w:szCs w:val="20"/>
                <w:color w:val="auto"/>
              </w:rPr>
            </w:pPr>
            <w:r>
              <w:rPr>
                <w:rFonts w:ascii="Arial" w:cs="Arial" w:eastAsia="Arial" w:hAnsi="Arial"/>
                <w:sz w:val="18"/>
                <w:szCs w:val="18"/>
                <w:color w:val="auto"/>
              </w:rPr>
              <w:t>Preservation of Information; Communication with Securityholders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ARTICLE 5 REMEDIES OF THE TRUSTEE AND SECURITYHOLDERS ON EVENT OF DEFAULT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720" w:type="dxa"/>
            <w:vAlign w:val="bottom"/>
          </w:tcPr>
          <w:p>
            <w:pPr>
              <w:ind w:left="240"/>
              <w:spacing w:after="0"/>
              <w:rPr>
                <w:sz w:val="20"/>
                <w:szCs w:val="20"/>
                <w:color w:val="auto"/>
              </w:rPr>
            </w:pPr>
            <w:r>
              <w:rPr>
                <w:rFonts w:ascii="Arial" w:cs="Arial" w:eastAsia="Arial" w:hAnsi="Arial"/>
                <w:sz w:val="18"/>
                <w:szCs w:val="18"/>
                <w:color w:val="auto"/>
              </w:rPr>
              <w:t>Event of Default Defined; Acceleration of Maturity; Waiver of Default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720" w:type="dxa"/>
            <w:vAlign w:val="bottom"/>
          </w:tcPr>
          <w:p>
            <w:pPr>
              <w:ind w:left="240"/>
              <w:spacing w:after="0"/>
              <w:rPr>
                <w:sz w:val="20"/>
                <w:szCs w:val="20"/>
                <w:color w:val="auto"/>
              </w:rPr>
            </w:pPr>
            <w:r>
              <w:rPr>
                <w:rFonts w:ascii="Arial" w:cs="Arial" w:eastAsia="Arial" w:hAnsi="Arial"/>
                <w:sz w:val="18"/>
                <w:szCs w:val="18"/>
                <w:color w:val="auto"/>
              </w:rPr>
              <w:t>Collection of Debt by Trustee; Trustee May Prove Debt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720" w:type="dxa"/>
            <w:vAlign w:val="bottom"/>
          </w:tcPr>
          <w:p>
            <w:pPr>
              <w:ind w:left="240"/>
              <w:spacing w:after="0"/>
              <w:rPr>
                <w:sz w:val="20"/>
                <w:szCs w:val="20"/>
                <w:color w:val="auto"/>
              </w:rPr>
            </w:pPr>
            <w:r>
              <w:rPr>
                <w:rFonts w:ascii="Arial" w:cs="Arial" w:eastAsia="Arial" w:hAnsi="Arial"/>
                <w:sz w:val="18"/>
                <w:szCs w:val="18"/>
                <w:color w:val="auto"/>
              </w:rPr>
              <w:t>Application of Proceeds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720" w:type="dxa"/>
            <w:vAlign w:val="bottom"/>
          </w:tcPr>
          <w:p>
            <w:pPr>
              <w:ind w:left="240"/>
              <w:spacing w:after="0"/>
              <w:rPr>
                <w:sz w:val="20"/>
                <w:szCs w:val="20"/>
                <w:color w:val="auto"/>
              </w:rPr>
            </w:pPr>
            <w:r>
              <w:rPr>
                <w:rFonts w:ascii="Arial" w:cs="Arial" w:eastAsia="Arial" w:hAnsi="Arial"/>
                <w:sz w:val="18"/>
                <w:szCs w:val="18"/>
                <w:color w:val="auto"/>
              </w:rPr>
              <w:t>Suits for Enforcement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720" w:type="dxa"/>
            <w:vAlign w:val="bottom"/>
          </w:tcPr>
          <w:p>
            <w:pPr>
              <w:ind w:left="240"/>
              <w:spacing w:after="0"/>
              <w:rPr>
                <w:sz w:val="20"/>
                <w:szCs w:val="20"/>
                <w:color w:val="auto"/>
              </w:rPr>
            </w:pPr>
            <w:r>
              <w:rPr>
                <w:rFonts w:ascii="Arial" w:cs="Arial" w:eastAsia="Arial" w:hAnsi="Arial"/>
                <w:sz w:val="18"/>
                <w:szCs w:val="18"/>
                <w:color w:val="auto"/>
              </w:rPr>
              <w:t>Restoration of Rights on Abandonment of Proceedings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720" w:type="dxa"/>
            <w:vAlign w:val="bottom"/>
          </w:tcPr>
          <w:p>
            <w:pPr>
              <w:ind w:left="240"/>
              <w:spacing w:after="0"/>
              <w:rPr>
                <w:sz w:val="20"/>
                <w:szCs w:val="20"/>
                <w:color w:val="auto"/>
              </w:rPr>
            </w:pPr>
            <w:r>
              <w:rPr>
                <w:rFonts w:ascii="Arial" w:cs="Arial" w:eastAsia="Arial" w:hAnsi="Arial"/>
                <w:sz w:val="18"/>
                <w:szCs w:val="18"/>
                <w:color w:val="auto"/>
              </w:rPr>
              <w:t>Limitations on Suits by Securityholders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720" w:type="dxa"/>
            <w:vAlign w:val="bottom"/>
          </w:tcPr>
          <w:p>
            <w:pPr>
              <w:ind w:left="24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720" w:type="dxa"/>
            <w:vAlign w:val="bottom"/>
          </w:tcPr>
          <w:p>
            <w:pPr>
              <w:ind w:left="24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720" w:type="dxa"/>
            <w:vAlign w:val="bottom"/>
          </w:tcPr>
          <w:p>
            <w:pPr>
              <w:ind w:left="240"/>
              <w:spacing w:after="0"/>
              <w:rPr>
                <w:sz w:val="20"/>
                <w:szCs w:val="20"/>
                <w:color w:val="auto"/>
              </w:rPr>
            </w:pPr>
            <w:r>
              <w:rPr>
                <w:rFonts w:ascii="Arial" w:cs="Arial" w:eastAsia="Arial" w:hAnsi="Arial"/>
                <w:sz w:val="18"/>
                <w:szCs w:val="18"/>
                <w:color w:val="auto"/>
              </w:rPr>
              <w:t>Control by Holders of Securities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720" w:type="dxa"/>
            <w:vAlign w:val="bottom"/>
          </w:tcPr>
          <w:p>
            <w:pPr>
              <w:ind w:left="240"/>
              <w:spacing w:after="0"/>
              <w:rPr>
                <w:sz w:val="20"/>
                <w:szCs w:val="20"/>
                <w:color w:val="auto"/>
              </w:rPr>
            </w:pPr>
            <w:r>
              <w:rPr>
                <w:rFonts w:ascii="Arial" w:cs="Arial" w:eastAsia="Arial" w:hAnsi="Arial"/>
                <w:sz w:val="18"/>
                <w:szCs w:val="18"/>
                <w:color w:val="auto"/>
              </w:rPr>
              <w:t>Waiver of Past Defaults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720" w:type="dxa"/>
            <w:vAlign w:val="bottom"/>
          </w:tcPr>
          <w:p>
            <w:pPr>
              <w:ind w:left="240"/>
              <w:spacing w:after="0"/>
              <w:rPr>
                <w:sz w:val="20"/>
                <w:szCs w:val="20"/>
                <w:color w:val="auto"/>
              </w:rPr>
            </w:pPr>
            <w:r>
              <w:rPr>
                <w:rFonts w:ascii="Arial" w:cs="Arial" w:eastAsia="Arial" w:hAnsi="Arial"/>
                <w:sz w:val="18"/>
                <w:szCs w:val="18"/>
                <w:color w:val="auto"/>
              </w:rPr>
              <w:t>Trustee to Give Notice of Default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720" w:type="dxa"/>
            <w:vAlign w:val="bottom"/>
          </w:tcPr>
          <w:p>
            <w:pPr>
              <w:ind w:left="240"/>
              <w:spacing w:after="0"/>
              <w:rPr>
                <w:sz w:val="20"/>
                <w:szCs w:val="20"/>
                <w:color w:val="auto"/>
              </w:rPr>
            </w:pPr>
            <w:r>
              <w:rPr>
                <w:rFonts w:ascii="Arial" w:cs="Arial" w:eastAsia="Arial" w:hAnsi="Arial"/>
                <w:sz w:val="18"/>
                <w:szCs w:val="18"/>
                <w:color w:val="auto"/>
              </w:rPr>
              <w:t>Right of Court to Require Filing of Undertaking to Pay Costs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3" w:name="page114"/>
    <w:bookmarkEnd w:id="113"/>
    <w:tbl>
      <w:tblPr>
        <w:tblLayout w:type="fixed"/>
        <w:tblInd w:w="0" w:type="dxa"/>
        <w:tblCellMar>
          <w:top w:w="0" w:type="dxa"/>
          <w:left w:w="0" w:type="dxa"/>
          <w:bottom w:w="0" w:type="dxa"/>
          <w:right w:w="0" w:type="dxa"/>
        </w:tblCellMar>
      </w:tblP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ARTICLE 6 CONCERNING THE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20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200"/>
              <w:spacing w:after="0"/>
              <w:rPr>
                <w:sz w:val="20"/>
                <w:szCs w:val="20"/>
                <w:color w:val="auto"/>
              </w:rPr>
            </w:pPr>
            <w:r>
              <w:rPr>
                <w:rFonts w:ascii="Arial" w:cs="Arial" w:eastAsia="Arial" w:hAnsi="Arial"/>
                <w:sz w:val="18"/>
                <w:szCs w:val="18"/>
                <w:color w:val="auto"/>
              </w:rPr>
              <w:t>Certain Rights of the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280" w:type="dxa"/>
            <w:vAlign w:val="bottom"/>
          </w:tcPr>
          <w:p>
            <w:pPr>
              <w:ind w:left="20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200"/>
              <w:spacing w:after="0"/>
              <w:rPr>
                <w:sz w:val="20"/>
                <w:szCs w:val="20"/>
                <w:color w:val="auto"/>
              </w:rPr>
            </w:pPr>
            <w:r>
              <w:rPr>
                <w:rFonts w:ascii="Arial" w:cs="Arial" w:eastAsia="Arial" w:hAnsi="Arial"/>
                <w:sz w:val="18"/>
                <w:szCs w:val="18"/>
                <w:color w:val="auto"/>
              </w:rPr>
              <w:t>Trustee and Agents May Hold Securities; Collections, Etc.</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280" w:type="dxa"/>
            <w:vAlign w:val="bottom"/>
          </w:tcPr>
          <w:p>
            <w:pPr>
              <w:ind w:left="200"/>
              <w:spacing w:after="0"/>
              <w:rPr>
                <w:sz w:val="20"/>
                <w:szCs w:val="20"/>
                <w:color w:val="auto"/>
              </w:rPr>
            </w:pPr>
            <w:r>
              <w:rPr>
                <w:rFonts w:ascii="Arial" w:cs="Arial" w:eastAsia="Arial" w:hAnsi="Arial"/>
                <w:sz w:val="18"/>
                <w:szCs w:val="18"/>
                <w:color w:val="auto"/>
              </w:rPr>
              <w:t>Moneys Held by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200"/>
              <w:spacing w:after="0"/>
              <w:rPr>
                <w:sz w:val="20"/>
                <w:szCs w:val="20"/>
                <w:color w:val="auto"/>
              </w:rPr>
            </w:pPr>
            <w:r>
              <w:rPr>
                <w:rFonts w:ascii="Arial" w:cs="Arial" w:eastAsia="Arial" w:hAnsi="Arial"/>
                <w:sz w:val="18"/>
                <w:szCs w:val="18"/>
                <w:color w:val="auto"/>
              </w:rPr>
              <w:t>Compensation and Indemnification of Trustee and Its Prior Claim</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280" w:type="dxa"/>
            <w:vAlign w:val="bottom"/>
          </w:tcPr>
          <w:p>
            <w:pPr>
              <w:ind w:left="200"/>
              <w:spacing w:after="0"/>
              <w:rPr>
                <w:sz w:val="20"/>
                <w:szCs w:val="20"/>
                <w:color w:val="auto"/>
              </w:rPr>
            </w:pPr>
            <w:r>
              <w:rPr>
                <w:rFonts w:ascii="Arial" w:cs="Arial" w:eastAsia="Arial" w:hAnsi="Arial"/>
                <w:sz w:val="18"/>
                <w:szCs w:val="18"/>
                <w:color w:val="auto"/>
              </w:rPr>
              <w:t>Right of Trustee to Rely on Officer’s Certificate, Etc.</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280" w:type="dxa"/>
            <w:vAlign w:val="bottom"/>
          </w:tcPr>
          <w:p>
            <w:pPr>
              <w:ind w:left="200"/>
              <w:spacing w:after="0"/>
              <w:rPr>
                <w:sz w:val="20"/>
                <w:szCs w:val="20"/>
                <w:color w:val="auto"/>
              </w:rPr>
            </w:pPr>
            <w:r>
              <w:rPr>
                <w:rFonts w:ascii="Arial" w:cs="Arial" w:eastAsia="Arial" w:hAnsi="Arial"/>
                <w:sz w:val="18"/>
                <w:szCs w:val="18"/>
                <w:color w:val="auto"/>
              </w:rPr>
              <w:t>Disqualification; Conflicting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280" w:type="dxa"/>
            <w:vAlign w:val="bottom"/>
          </w:tcPr>
          <w:p>
            <w:pPr>
              <w:ind w:left="200"/>
              <w:spacing w:after="0"/>
              <w:rPr>
                <w:sz w:val="20"/>
                <w:szCs w:val="20"/>
                <w:color w:val="auto"/>
              </w:rPr>
            </w:pPr>
            <w:r>
              <w:rPr>
                <w:rFonts w:ascii="Arial" w:cs="Arial" w:eastAsia="Arial" w:hAnsi="Arial"/>
                <w:sz w:val="18"/>
                <w:szCs w:val="18"/>
                <w:color w:val="auto"/>
              </w:rPr>
              <w:t>Persons Eligible for Appointment as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280" w:type="dxa"/>
            <w:vAlign w:val="bottom"/>
          </w:tcPr>
          <w:p>
            <w:pPr>
              <w:ind w:left="200"/>
              <w:spacing w:after="0"/>
              <w:rPr>
                <w:sz w:val="20"/>
                <w:szCs w:val="20"/>
                <w:color w:val="auto"/>
              </w:rPr>
            </w:pPr>
            <w:r>
              <w:rPr>
                <w:rFonts w:ascii="Arial" w:cs="Arial" w:eastAsia="Arial" w:hAnsi="Arial"/>
                <w:sz w:val="18"/>
                <w:szCs w:val="18"/>
                <w:color w:val="auto"/>
              </w:rPr>
              <w:t>Resignation and Removal; Appointment of Successor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280" w:type="dxa"/>
            <w:vAlign w:val="bottom"/>
          </w:tcPr>
          <w:p>
            <w:pPr>
              <w:ind w:left="200"/>
              <w:spacing w:after="0"/>
              <w:rPr>
                <w:sz w:val="20"/>
                <w:szCs w:val="20"/>
                <w:color w:val="auto"/>
              </w:rPr>
            </w:pPr>
            <w:r>
              <w:rPr>
                <w:rFonts w:ascii="Arial" w:cs="Arial" w:eastAsia="Arial" w:hAnsi="Arial"/>
                <w:sz w:val="18"/>
                <w:szCs w:val="18"/>
                <w:color w:val="auto"/>
              </w:rPr>
              <w:t>Acceptance of Appointment by Successor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280" w:type="dxa"/>
            <w:vAlign w:val="bottom"/>
          </w:tcPr>
          <w:p>
            <w:pPr>
              <w:ind w:left="20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280" w:type="dxa"/>
            <w:vAlign w:val="bottom"/>
          </w:tcPr>
          <w:p>
            <w:pPr>
              <w:ind w:left="200"/>
              <w:spacing w:after="0"/>
              <w:rPr>
                <w:sz w:val="20"/>
                <w:szCs w:val="20"/>
                <w:color w:val="auto"/>
              </w:rPr>
            </w:pPr>
            <w:r>
              <w:rPr>
                <w:rFonts w:ascii="Arial" w:cs="Arial" w:eastAsia="Arial" w:hAnsi="Arial"/>
                <w:sz w:val="18"/>
                <w:szCs w:val="18"/>
                <w:color w:val="auto"/>
              </w:rPr>
              <w:t>Preferential Collection of Claims Against the Issuer</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ARTICLE 7 CONCERNING THE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280" w:type="dxa"/>
            <w:vAlign w:val="bottom"/>
          </w:tcPr>
          <w:p>
            <w:pPr>
              <w:ind w:left="200"/>
              <w:spacing w:after="0"/>
              <w:rPr>
                <w:sz w:val="20"/>
                <w:szCs w:val="20"/>
                <w:color w:val="auto"/>
              </w:rPr>
            </w:pPr>
            <w:r>
              <w:rPr>
                <w:rFonts w:ascii="Arial" w:cs="Arial" w:eastAsia="Arial" w:hAnsi="Arial"/>
                <w:sz w:val="18"/>
                <w:szCs w:val="18"/>
                <w:color w:val="auto"/>
              </w:rPr>
              <w:t>Evidence of Action Taken by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200"/>
              <w:spacing w:after="0"/>
              <w:rPr>
                <w:sz w:val="20"/>
                <w:szCs w:val="20"/>
                <w:color w:val="auto"/>
              </w:rPr>
            </w:pPr>
            <w:r>
              <w:rPr>
                <w:rFonts w:ascii="Arial" w:cs="Arial" w:eastAsia="Arial" w:hAnsi="Arial"/>
                <w:sz w:val="18"/>
                <w:szCs w:val="18"/>
                <w:color w:val="auto"/>
              </w:rPr>
              <w:t>Proof of Execution of Instruments and of Holding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280" w:type="dxa"/>
            <w:vAlign w:val="bottom"/>
          </w:tcPr>
          <w:p>
            <w:pPr>
              <w:ind w:left="200"/>
              <w:spacing w:after="0"/>
              <w:rPr>
                <w:sz w:val="20"/>
                <w:szCs w:val="20"/>
                <w:color w:val="auto"/>
              </w:rPr>
            </w:pPr>
            <w:r>
              <w:rPr>
                <w:rFonts w:ascii="Arial" w:cs="Arial" w:eastAsia="Arial" w:hAnsi="Arial"/>
                <w:sz w:val="18"/>
                <w:szCs w:val="18"/>
                <w:color w:val="auto"/>
              </w:rPr>
              <w:t>Holders to Be Treated as Owners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200"/>
              <w:spacing w:after="0"/>
              <w:rPr>
                <w:sz w:val="20"/>
                <w:szCs w:val="20"/>
                <w:color w:val="auto"/>
              </w:rPr>
            </w:pPr>
            <w:r>
              <w:rPr>
                <w:rFonts w:ascii="Arial" w:cs="Arial" w:eastAsia="Arial" w:hAnsi="Arial"/>
                <w:sz w:val="18"/>
                <w:szCs w:val="18"/>
                <w:color w:val="auto"/>
              </w:rPr>
              <w:t>Securities Owned by Issuer Deemed Not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200"/>
              <w:spacing w:after="0"/>
              <w:rPr>
                <w:sz w:val="20"/>
                <w:szCs w:val="20"/>
                <w:color w:val="auto"/>
              </w:rPr>
            </w:pPr>
            <w:r>
              <w:rPr>
                <w:rFonts w:ascii="Arial" w:cs="Arial" w:eastAsia="Arial" w:hAnsi="Arial"/>
                <w:sz w:val="18"/>
                <w:szCs w:val="18"/>
                <w:color w:val="auto"/>
              </w:rPr>
              <w:t>Right of Revocation of Action Taken</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ARTICLE 8 SUPPLEMENTAL INDENTURES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200"/>
              <w:spacing w:after="0"/>
              <w:rPr>
                <w:sz w:val="20"/>
                <w:szCs w:val="20"/>
                <w:color w:val="auto"/>
              </w:rPr>
            </w:pPr>
            <w:r>
              <w:rPr>
                <w:rFonts w:ascii="Arial" w:cs="Arial" w:eastAsia="Arial" w:hAnsi="Arial"/>
                <w:sz w:val="18"/>
                <w:szCs w:val="18"/>
                <w:color w:val="auto"/>
              </w:rPr>
              <w:t>Supplemental Indentures Without Consent of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200"/>
              <w:spacing w:after="0"/>
              <w:rPr>
                <w:sz w:val="20"/>
                <w:szCs w:val="20"/>
                <w:color w:val="auto"/>
              </w:rPr>
            </w:pPr>
            <w:r>
              <w:rPr>
                <w:rFonts w:ascii="Arial" w:cs="Arial" w:eastAsia="Arial" w:hAnsi="Arial"/>
                <w:sz w:val="18"/>
                <w:szCs w:val="18"/>
                <w:color w:val="auto"/>
              </w:rPr>
              <w:t>Supplemental Indentures With Consent of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200"/>
              <w:spacing w:after="0"/>
              <w:rPr>
                <w:sz w:val="20"/>
                <w:szCs w:val="20"/>
                <w:color w:val="auto"/>
              </w:rPr>
            </w:pPr>
            <w:r>
              <w:rPr>
                <w:rFonts w:ascii="Arial" w:cs="Arial" w:eastAsia="Arial" w:hAnsi="Arial"/>
                <w:sz w:val="18"/>
                <w:szCs w:val="18"/>
                <w:color w:val="auto"/>
              </w:rPr>
              <w:t>Effect of Supplemental Indenture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200"/>
              <w:spacing w:after="0"/>
              <w:rPr>
                <w:sz w:val="20"/>
                <w:szCs w:val="20"/>
                <w:color w:val="auto"/>
              </w:rPr>
            </w:pPr>
            <w:r>
              <w:rPr>
                <w:rFonts w:ascii="Arial" w:cs="Arial" w:eastAsia="Arial" w:hAnsi="Arial"/>
                <w:sz w:val="18"/>
                <w:szCs w:val="18"/>
                <w:color w:val="auto"/>
              </w:rPr>
              <w:t>Documents to Be Given to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8280" w:type="dxa"/>
            <w:vAlign w:val="bottom"/>
          </w:tcPr>
          <w:p>
            <w:pPr>
              <w:ind w:left="200"/>
              <w:spacing w:after="0"/>
              <w:rPr>
                <w:sz w:val="20"/>
                <w:szCs w:val="20"/>
                <w:color w:val="auto"/>
              </w:rPr>
            </w:pPr>
            <w:r>
              <w:rPr>
                <w:rFonts w:ascii="Arial" w:cs="Arial" w:eastAsia="Arial" w:hAnsi="Arial"/>
                <w:sz w:val="18"/>
                <w:szCs w:val="18"/>
                <w:color w:val="auto"/>
              </w:rPr>
              <w:t>Notation on Securities in Respect of Supplemental Indentures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ARTICLE 9 CONSOLIDATION, MERGER, SALE OR CONVEYANCE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200"/>
              <w:spacing w:after="0"/>
              <w:rPr>
                <w:sz w:val="20"/>
                <w:szCs w:val="20"/>
                <w:color w:val="auto"/>
              </w:rPr>
            </w:pPr>
            <w:r>
              <w:rPr>
                <w:rFonts w:ascii="Arial" w:cs="Arial" w:eastAsia="Arial" w:hAnsi="Arial"/>
                <w:sz w:val="18"/>
                <w:szCs w:val="18"/>
                <w:color w:val="auto"/>
              </w:rPr>
              <w:t>Issuer May Consolidate, Etc., on Certain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200"/>
              <w:spacing w:after="0"/>
              <w:rPr>
                <w:sz w:val="20"/>
                <w:szCs w:val="20"/>
                <w:color w:val="auto"/>
              </w:rPr>
            </w:pPr>
            <w:r>
              <w:rPr>
                <w:rFonts w:ascii="Arial" w:cs="Arial" w:eastAsia="Arial" w:hAnsi="Arial"/>
                <w:sz w:val="18"/>
                <w:szCs w:val="18"/>
                <w:color w:val="auto"/>
              </w:rPr>
              <w:t>Successor Issuer Substituted</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ARTICLE 10 SATISFACTION AND DISCHARGE OF INDENTURE; DEFEASANCE; UNCLAIMED MONEYS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200"/>
              <w:spacing w:after="0"/>
              <w:rPr>
                <w:sz w:val="20"/>
                <w:szCs w:val="20"/>
                <w:color w:val="auto"/>
              </w:rPr>
            </w:pPr>
            <w:r>
              <w:rPr>
                <w:rFonts w:ascii="Arial" w:cs="Arial" w:eastAsia="Arial" w:hAnsi="Arial"/>
                <w:sz w:val="18"/>
                <w:szCs w:val="18"/>
                <w:color w:val="auto"/>
              </w:rPr>
              <w:t>Satisfaction and Discharge of Indenture;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2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200"/>
              <w:spacing w:after="0"/>
              <w:rPr>
                <w:sz w:val="20"/>
                <w:szCs w:val="20"/>
                <w:color w:val="auto"/>
              </w:rPr>
            </w:pPr>
            <w:r>
              <w:rPr>
                <w:rFonts w:ascii="Arial" w:cs="Arial" w:eastAsia="Arial" w:hAnsi="Arial"/>
                <w:sz w:val="18"/>
                <w:szCs w:val="18"/>
                <w:color w:val="auto"/>
              </w:rPr>
              <w:t>Repayment of Moneys Held by Paying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2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20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9820" w:type="dxa"/>
            <w:vAlign w:val="bottom"/>
            <w:gridSpan w:val="2"/>
          </w:tcPr>
          <w:p>
            <w:pPr>
              <w:spacing w:after="0"/>
              <w:rPr>
                <w:sz w:val="20"/>
                <w:szCs w:val="20"/>
                <w:color w:val="auto"/>
              </w:rPr>
            </w:pPr>
            <w:r>
              <w:rPr>
                <w:rFonts w:ascii="Arial" w:cs="Arial" w:eastAsia="Arial" w:hAnsi="Arial"/>
                <w:sz w:val="18"/>
                <w:szCs w:val="18"/>
                <w:color w:val="auto"/>
              </w:rPr>
              <w:t>ARTICLE 11 MISCELLANEOUS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280" w:type="dxa"/>
            <w:vAlign w:val="bottom"/>
          </w:tcPr>
          <w:p>
            <w:pPr>
              <w:ind w:left="200"/>
              <w:spacing w:after="0"/>
              <w:rPr>
                <w:sz w:val="20"/>
                <w:szCs w:val="20"/>
                <w:color w:val="auto"/>
              </w:rPr>
            </w:pPr>
            <w:r>
              <w:rPr>
                <w:rFonts w:ascii="Arial" w:cs="Arial" w:eastAsia="Arial" w:hAnsi="Arial"/>
                <w:sz w:val="18"/>
                <w:szCs w:val="18"/>
                <w:color w:val="auto"/>
              </w:rPr>
              <w:t>No Recourse</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bl>
    <w:p>
      <w:pPr>
        <w:jc w:val="right"/>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4" w:name="page115"/>
    <w:bookmarkEnd w:id="114"/>
    <w:tbl>
      <w:tblPr>
        <w:tblLayout w:type="fixed"/>
        <w:tblInd w:w="0" w:type="dxa"/>
        <w:tblCellMar>
          <w:top w:w="0" w:type="dxa"/>
          <w:left w:w="0" w:type="dxa"/>
          <w:bottom w:w="0" w:type="dxa"/>
          <w:right w:w="0" w:type="dxa"/>
        </w:tblCellMar>
      </w:tblP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740" w:type="dxa"/>
            <w:vAlign w:val="bottom"/>
          </w:tcPr>
          <w:p>
            <w:pPr>
              <w:ind w:left="20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740" w:type="dxa"/>
            <w:vAlign w:val="bottom"/>
          </w:tcPr>
          <w:p>
            <w:pPr>
              <w:ind w:left="200"/>
              <w:spacing w:after="0"/>
              <w:rPr>
                <w:sz w:val="20"/>
                <w:szCs w:val="20"/>
                <w:color w:val="auto"/>
              </w:rPr>
            </w:pPr>
            <w:r>
              <w:rPr>
                <w:rFonts w:ascii="Arial" w:cs="Arial" w:eastAsia="Arial" w:hAnsi="Arial"/>
                <w:sz w:val="18"/>
                <w:szCs w:val="18"/>
                <w:color w:val="auto"/>
              </w:rPr>
              <w:t>Successors and Assigns of Issuer Bound by Indenture</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740" w:type="dxa"/>
            <w:vAlign w:val="bottom"/>
          </w:tcPr>
          <w:p>
            <w:pPr>
              <w:ind w:left="200"/>
              <w:spacing w:after="0"/>
              <w:rPr>
                <w:sz w:val="20"/>
                <w:szCs w:val="20"/>
                <w:color w:val="auto"/>
              </w:rPr>
            </w:pPr>
            <w:r>
              <w:rPr>
                <w:rFonts w:ascii="Arial" w:cs="Arial" w:eastAsia="Arial" w:hAnsi="Arial"/>
                <w:sz w:val="18"/>
                <w:szCs w:val="18"/>
                <w:color w:val="auto"/>
              </w:rPr>
              <w:t>Notices and Demands on Issuer, Trustee and Holders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740" w:type="dxa"/>
            <w:vAlign w:val="bottom"/>
          </w:tcPr>
          <w:p>
            <w:pPr>
              <w:ind w:left="20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740" w:type="dxa"/>
            <w:vAlign w:val="bottom"/>
          </w:tcPr>
          <w:p>
            <w:pPr>
              <w:ind w:left="200"/>
              <w:spacing w:after="0"/>
              <w:rPr>
                <w:sz w:val="20"/>
                <w:szCs w:val="20"/>
                <w:color w:val="auto"/>
              </w:rPr>
            </w:pPr>
            <w:r>
              <w:rPr>
                <w:rFonts w:ascii="Arial" w:cs="Arial" w:eastAsia="Arial" w:hAnsi="Arial"/>
                <w:sz w:val="18"/>
                <w:szCs w:val="18"/>
                <w:color w:val="auto"/>
              </w:rPr>
              <w:t>Payments Due on Saturdays, Sundays and Holidays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740" w:type="dxa"/>
            <w:vAlign w:val="bottom"/>
          </w:tcPr>
          <w:p>
            <w:pPr>
              <w:ind w:left="20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740" w:type="dxa"/>
            <w:vAlign w:val="bottom"/>
          </w:tcPr>
          <w:p>
            <w:pPr>
              <w:ind w:left="200"/>
              <w:spacing w:after="0"/>
              <w:rPr>
                <w:sz w:val="20"/>
                <w:szCs w:val="20"/>
                <w:color w:val="auto"/>
              </w:rPr>
            </w:pPr>
            <w:r>
              <w:rPr>
                <w:rFonts w:ascii="Arial" w:cs="Arial" w:eastAsia="Arial" w:hAnsi="Arial"/>
                <w:sz w:val="18"/>
                <w:szCs w:val="18"/>
                <w:color w:val="auto"/>
              </w:rPr>
              <w:t>New York Law to Govern</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774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11.10</w:t>
            </w:r>
          </w:p>
        </w:tc>
        <w:tc>
          <w:tcPr>
            <w:tcW w:w="7740" w:type="dxa"/>
            <w:vAlign w:val="bottom"/>
          </w:tcPr>
          <w:p>
            <w:pPr>
              <w:ind w:left="200"/>
              <w:spacing w:after="0"/>
              <w:rPr>
                <w:sz w:val="20"/>
                <w:szCs w:val="20"/>
                <w:color w:val="auto"/>
              </w:rPr>
            </w:pPr>
            <w:r>
              <w:rPr>
                <w:rFonts w:ascii="Arial" w:cs="Arial" w:eastAsia="Arial" w:hAnsi="Arial"/>
                <w:sz w:val="18"/>
                <w:szCs w:val="18"/>
                <w:color w:val="auto"/>
              </w:rPr>
              <w:t>Effect of Headings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11.11</w:t>
            </w:r>
          </w:p>
        </w:tc>
        <w:tc>
          <w:tcPr>
            <w:tcW w:w="7740" w:type="dxa"/>
            <w:vAlign w:val="bottom"/>
          </w:tcPr>
          <w:p>
            <w:pPr>
              <w:ind w:left="200"/>
              <w:spacing w:after="0"/>
              <w:rPr>
                <w:sz w:val="20"/>
                <w:szCs w:val="20"/>
                <w:color w:val="auto"/>
              </w:rPr>
            </w:pPr>
            <w:r>
              <w:rPr>
                <w:rFonts w:ascii="Arial" w:cs="Arial" w:eastAsia="Arial" w:hAnsi="Arial"/>
                <w:sz w:val="18"/>
                <w:szCs w:val="18"/>
                <w:color w:val="auto"/>
              </w:rPr>
              <w:t>Actions by Successor</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11.12</w:t>
            </w:r>
          </w:p>
        </w:tc>
        <w:tc>
          <w:tcPr>
            <w:tcW w:w="77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12 REDEMPTION OF SECURITIES AND SINKING FUNDS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74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740" w:type="dxa"/>
            <w:vAlign w:val="bottom"/>
          </w:tcPr>
          <w:p>
            <w:pPr>
              <w:ind w:left="200"/>
              <w:spacing w:after="0"/>
              <w:rPr>
                <w:sz w:val="20"/>
                <w:szCs w:val="20"/>
                <w:color w:val="auto"/>
              </w:rPr>
            </w:pPr>
            <w:r>
              <w:rPr>
                <w:rFonts w:ascii="Arial" w:cs="Arial" w:eastAsia="Arial" w:hAnsi="Arial"/>
                <w:sz w:val="18"/>
                <w:szCs w:val="18"/>
                <w:color w:val="auto"/>
              </w:rPr>
              <w:t>Notice of Redemption; Partial Redemptions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740" w:type="dxa"/>
            <w:vAlign w:val="bottom"/>
          </w:tcPr>
          <w:p>
            <w:pPr>
              <w:ind w:left="200"/>
              <w:spacing w:after="0"/>
              <w:rPr>
                <w:sz w:val="20"/>
                <w:szCs w:val="20"/>
                <w:color w:val="auto"/>
              </w:rPr>
            </w:pPr>
            <w:r>
              <w:rPr>
                <w:rFonts w:ascii="Arial" w:cs="Arial" w:eastAsia="Arial" w:hAnsi="Arial"/>
                <w:sz w:val="18"/>
                <w:szCs w:val="18"/>
                <w:color w:val="auto"/>
              </w:rPr>
              <w:t>Payment of Securities Called for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7740" w:type="dxa"/>
            <w:vAlign w:val="bottom"/>
          </w:tcPr>
          <w:p>
            <w:pPr>
              <w:ind w:left="2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7740" w:type="dxa"/>
            <w:vAlign w:val="bottom"/>
          </w:tcPr>
          <w:p>
            <w:pPr>
              <w:ind w:left="200"/>
              <w:spacing w:after="0"/>
              <w:rPr>
                <w:sz w:val="20"/>
                <w:szCs w:val="20"/>
                <w:color w:val="auto"/>
              </w:rPr>
            </w:pPr>
            <w:r>
              <w:rPr>
                <w:rFonts w:ascii="Arial" w:cs="Arial" w:eastAsia="Arial" w:hAnsi="Arial"/>
                <w:sz w:val="18"/>
                <w:szCs w:val="18"/>
                <w:color w:val="auto"/>
              </w:rPr>
              <w:t>Mandatory and Optional Sinking Funds</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5" w:name="page116"/>
    <w:bookmarkEnd w:id="11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INDENTURE, dated as of _________ between Werewolf Therapeutics, Inc.,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and ________,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“Additional Amounts” </w:t>
      </w:r>
      <w:r>
        <w:rPr>
          <w:rFonts w:ascii="Arial" w:cs="Arial" w:eastAsia="Arial" w:hAnsi="Arial"/>
          <w:sz w:val="18"/>
          <w:szCs w:val="18"/>
          <w:color w:val="auto"/>
        </w:rPr>
        <w:t>means any additional amounts that are required by this Indenture or by any Security, under circumstances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therein, to be paid by the Issuer in respect of certain taxes, assessments or other governmental charges imposed on Holders specified therein and which are owing to such Holders.</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16" w:name="page117"/>
    <w:bookmarkEnd w:id="116"/>
    <w:p>
      <w:pPr>
        <w:ind w:right="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color w:val="auto"/>
        </w:rPr>
        <w:t>means (a) in the case of a corporation, corporate stock; (b) in the case of an association or business entity, any and all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“Foreign Government Obligation” </w:t>
      </w:r>
      <w:r>
        <w:rPr>
          <w:rFonts w:ascii="Arial" w:cs="Arial" w:eastAsia="Arial" w:hAnsi="Arial"/>
          <w:sz w:val="18"/>
          <w:szCs w:val="18"/>
          <w:color w:val="auto"/>
        </w:rPr>
        <w:t>means (a) a direct obligation of the government of a country other than the United States of America, backed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0"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Werewolf Therapeutics, Inc., a Delaware corporation, and, subject to Article 9, its successors and assigns.</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71" w:lineRule="exact"/>
        <w:rPr>
          <w:sz w:val="20"/>
          <w:szCs w:val="20"/>
          <w:color w:val="auto"/>
        </w:rPr>
      </w:pPr>
    </w:p>
    <w:p>
      <w:pPr>
        <w:ind w:left="5460" w:right="3100" w:hanging="4479"/>
        <w:spacing w:after="0" w:line="449" w:lineRule="auto"/>
        <w:tabs>
          <w:tab w:leader="none" w:pos="14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 3</w:t>
      </w:r>
    </w:p>
    <w:p>
      <w:pPr>
        <w:sectPr>
          <w:pgSz w:w="11900" w:h="16838" w:orient="portrait"/>
          <w:cols w:equalWidth="0" w:num="1">
            <w:col w:w="11000"/>
          </w:cols>
          <w:pgMar w:left="440" w:top="274" w:right="459" w:bottom="1440" w:gutter="0" w:footer="0" w:header="0"/>
        </w:sectPr>
      </w:pPr>
    </w:p>
    <w:bookmarkStart w:id="118" w:name="page119"/>
    <w:bookmarkEnd w:id="118"/>
    <w:p>
      <w:pPr>
        <w:ind w:left="1420" w:hanging="439"/>
        <w:spacing w:after="0" w:line="273" w:lineRule="auto"/>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83" w:lineRule="exact"/>
        <w:rPr>
          <w:rFonts w:ascii="Arial" w:cs="Arial" w:eastAsia="Arial" w:hAnsi="Arial"/>
          <w:sz w:val="17"/>
          <w:szCs w:val="17"/>
          <w:color w:val="auto"/>
        </w:rPr>
      </w:pPr>
    </w:p>
    <w:p>
      <w:pPr>
        <w:ind w:left="1420" w:hanging="43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Securities as to which Legal Defeasance shall have been effected pursuant to Section 10.01(b);</w:t>
      </w:r>
    </w:p>
    <w:p>
      <w:pPr>
        <w:spacing w:after="0" w:line="130" w:lineRule="exact"/>
        <w:rPr>
          <w:rFonts w:ascii="Arial" w:cs="Arial" w:eastAsia="Arial" w:hAnsi="Arial"/>
          <w:sz w:val="18"/>
          <w:szCs w:val="18"/>
          <w:color w:val="auto"/>
        </w:rPr>
      </w:pPr>
    </w:p>
    <w:p>
      <w:pPr>
        <w:ind w:left="1420" w:right="80" w:hanging="439"/>
        <w:spacing w:after="0" w:line="301" w:lineRule="auto"/>
        <w:tabs>
          <w:tab w:leader="none" w:pos="1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62"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225"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19" w:name="page120"/>
    <w:bookmarkEnd w:id="119"/>
    <w:p>
      <w:pPr>
        <w:ind w:right="8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73"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20" w:name="page121"/>
    <w:bookmarkEnd w:id="120"/>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177800</wp:posOffset>
            </wp:positionV>
            <wp:extent cx="2537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as Trustee</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77" w:lineRule="exact"/>
        <w:rPr>
          <w:sz w:val="20"/>
          <w:szCs w:val="20"/>
          <w:color w:val="auto"/>
        </w:rPr>
      </w:pPr>
    </w:p>
    <w:p>
      <w:pPr>
        <w:ind w:left="1420" w:hanging="43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130" w:lineRule="exact"/>
        <w:rPr>
          <w:rFonts w:ascii="Arial" w:cs="Arial" w:eastAsia="Arial" w:hAnsi="Arial"/>
          <w:sz w:val="18"/>
          <w:szCs w:val="18"/>
          <w:color w:val="auto"/>
        </w:rPr>
      </w:pPr>
    </w:p>
    <w:p>
      <w:pPr>
        <w:ind w:left="1420" w:right="240" w:hanging="439"/>
        <w:spacing w:after="0" w:line="263"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89" w:lineRule="exact"/>
        <w:rPr>
          <w:rFonts w:ascii="Arial" w:cs="Arial" w:eastAsia="Arial" w:hAnsi="Arial"/>
          <w:sz w:val="18"/>
          <w:szCs w:val="18"/>
          <w:color w:val="auto"/>
        </w:rPr>
      </w:pPr>
    </w:p>
    <w:p>
      <w:pPr>
        <w:ind w:left="1420" w:right="80" w:hanging="43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75" w:lineRule="exact"/>
        <w:rPr>
          <w:rFonts w:ascii="Arial" w:cs="Arial" w:eastAsia="Arial" w:hAnsi="Arial"/>
          <w:sz w:val="18"/>
          <w:szCs w:val="18"/>
          <w:color w:val="auto"/>
        </w:rPr>
      </w:pPr>
    </w:p>
    <w:p>
      <w:pPr>
        <w:ind w:left="1420" w:right="100" w:hanging="439"/>
        <w:spacing w:after="0" w:line="275" w:lineRule="auto"/>
        <w:tabs>
          <w:tab w:leader="none" w:pos="14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81" w:lineRule="exact"/>
        <w:rPr>
          <w:rFonts w:ascii="Arial" w:cs="Arial" w:eastAsia="Arial" w:hAnsi="Arial"/>
          <w:sz w:val="17"/>
          <w:szCs w:val="17"/>
          <w:color w:val="auto"/>
        </w:rPr>
      </w:pPr>
    </w:p>
    <w:p>
      <w:pPr>
        <w:ind w:left="1420" w:right="300" w:hanging="43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on Securities of the series shall be payable (if other than as provided in Section 3.02);</w:t>
      </w:r>
    </w:p>
    <w:p>
      <w:pPr>
        <w:spacing w:after="0" w:line="75" w:lineRule="exact"/>
        <w:rPr>
          <w:rFonts w:ascii="Arial" w:cs="Arial" w:eastAsia="Arial" w:hAnsi="Arial"/>
          <w:sz w:val="18"/>
          <w:szCs w:val="18"/>
          <w:color w:val="auto"/>
        </w:rPr>
      </w:pPr>
    </w:p>
    <w:p>
      <w:pPr>
        <w:ind w:left="1420" w:right="80" w:hanging="439"/>
        <w:spacing w:after="0" w:line="259"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92"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1" w:name="page122"/>
    <w:bookmarkEnd w:id="121"/>
    <w:p>
      <w:pPr>
        <w:ind w:left="439" w:right="60" w:hanging="439"/>
        <w:spacing w:after="0" w:line="277"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other than the principal amount thereof, the portion of the principal amount of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130"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75" w:lineRule="exact"/>
        <w:rPr>
          <w:rFonts w:ascii="Arial" w:cs="Arial" w:eastAsia="Arial" w:hAnsi="Arial"/>
          <w:sz w:val="18"/>
          <w:szCs w:val="18"/>
          <w:color w:val="auto"/>
        </w:rPr>
      </w:pPr>
    </w:p>
    <w:p>
      <w:pPr>
        <w:ind w:left="439" w:right="220" w:hanging="439"/>
        <w:spacing w:after="0" w:line="263"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9" w:lineRule="exact"/>
        <w:rPr>
          <w:rFonts w:ascii="Arial" w:cs="Arial" w:eastAsia="Arial" w:hAnsi="Arial"/>
          <w:sz w:val="18"/>
          <w:szCs w:val="18"/>
          <w:color w:val="auto"/>
        </w:rPr>
      </w:pPr>
    </w:p>
    <w:p>
      <w:pPr>
        <w:ind w:left="439" w:right="280" w:hanging="439"/>
        <w:spacing w:after="0" w:line="259"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92" w:lineRule="exact"/>
        <w:rPr>
          <w:rFonts w:ascii="Arial" w:cs="Arial" w:eastAsia="Arial" w:hAnsi="Arial"/>
          <w:sz w:val="18"/>
          <w:szCs w:val="18"/>
          <w:color w:val="auto"/>
        </w:rPr>
      </w:pPr>
    </w:p>
    <w:p>
      <w:pPr>
        <w:ind w:left="439" w:right="160" w:hanging="439"/>
        <w:spacing w:after="0" w:line="263"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89" w:lineRule="exact"/>
        <w:rPr>
          <w:rFonts w:ascii="Arial" w:cs="Arial" w:eastAsia="Arial" w:hAnsi="Arial"/>
          <w:sz w:val="18"/>
          <w:szCs w:val="18"/>
          <w:color w:val="auto"/>
        </w:rPr>
      </w:pPr>
    </w:p>
    <w:p>
      <w:pPr>
        <w:ind w:left="439" w:right="140" w:hanging="439"/>
        <w:spacing w:after="0" w:line="259"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92" w:lineRule="exact"/>
        <w:rPr>
          <w:rFonts w:ascii="Arial" w:cs="Arial" w:eastAsia="Arial" w:hAnsi="Arial"/>
          <w:sz w:val="18"/>
          <w:szCs w:val="18"/>
          <w:color w:val="auto"/>
        </w:rPr>
      </w:pPr>
    </w:p>
    <w:p>
      <w:pPr>
        <w:ind w:left="439" w:hanging="439"/>
        <w:spacing w:after="0"/>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30"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75" w:lineRule="exact"/>
        <w:rPr>
          <w:rFonts w:ascii="Arial" w:cs="Arial" w:eastAsia="Arial" w:hAnsi="Arial"/>
          <w:sz w:val="18"/>
          <w:szCs w:val="18"/>
          <w:color w:val="auto"/>
        </w:rPr>
      </w:pPr>
    </w:p>
    <w:p>
      <w:pPr>
        <w:ind w:left="439" w:right="80" w:hanging="439"/>
        <w:spacing w:after="0" w:line="263"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89"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Securities of such series;</w:t>
      </w:r>
    </w:p>
    <w:p>
      <w:pPr>
        <w:spacing w:after="0" w:line="75" w:lineRule="exact"/>
        <w:rPr>
          <w:rFonts w:ascii="Arial" w:cs="Arial" w:eastAsia="Arial" w:hAnsi="Arial"/>
          <w:sz w:val="18"/>
          <w:szCs w:val="18"/>
          <w:color w:val="auto"/>
        </w:rPr>
      </w:pPr>
    </w:p>
    <w:p>
      <w:pPr>
        <w:ind w:left="439" w:hanging="439"/>
        <w:spacing w:after="0" w:line="277" w:lineRule="auto"/>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such series in addition to or in lieu of those contained in this Indenture; and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19"/>
          </w:cols>
          <w:pgMar w:left="1421" w:top="274" w:right="459" w:bottom="1440" w:gutter="0" w:footer="0" w:header="0"/>
        </w:sectPr>
      </w:pPr>
    </w:p>
    <w:bookmarkStart w:id="122" w:name="page123"/>
    <w:bookmarkEnd w:id="122"/>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71" w:lineRule="exact"/>
        <w:rPr>
          <w:sz w:val="20"/>
          <w:szCs w:val="20"/>
          <w:color w:val="auto"/>
        </w:rPr>
      </w:pPr>
    </w:p>
    <w:p>
      <w:pPr>
        <w:ind w:left="1420" w:right="200" w:hanging="43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Issuer Order requesting such authentication and setting forth delivery instructions if the Securities are not to be delivered to the Issuer;</w:t>
      </w:r>
    </w:p>
    <w:p>
      <w:pPr>
        <w:spacing w:after="0" w:line="75" w:lineRule="exact"/>
        <w:rPr>
          <w:rFonts w:ascii="Arial" w:cs="Arial" w:eastAsia="Arial" w:hAnsi="Arial"/>
          <w:sz w:val="18"/>
          <w:szCs w:val="18"/>
          <w:color w:val="auto"/>
        </w:rPr>
      </w:pPr>
    </w:p>
    <w:p>
      <w:pPr>
        <w:ind w:left="1420" w:right="460" w:hanging="43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75" w:lineRule="exact"/>
        <w:rPr>
          <w:rFonts w:ascii="Arial" w:cs="Arial" w:eastAsia="Arial" w:hAnsi="Arial"/>
          <w:sz w:val="18"/>
          <w:szCs w:val="18"/>
          <w:color w:val="auto"/>
        </w:rPr>
      </w:pPr>
    </w:p>
    <w:p>
      <w:pPr>
        <w:ind w:left="1420" w:right="40" w:hanging="439"/>
        <w:spacing w:after="0" w:line="263"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130" w:lineRule="exact"/>
        <w:rPr>
          <w:rFonts w:ascii="Arial" w:cs="Arial" w:eastAsia="Arial" w:hAnsi="Arial"/>
          <w:sz w:val="18"/>
          <w:szCs w:val="18"/>
          <w:color w:val="auto"/>
        </w:rPr>
      </w:pPr>
    </w:p>
    <w:p>
      <w:pPr>
        <w:ind w:left="1960" w:right="260" w:hanging="533"/>
        <w:spacing w:after="0" w:line="277" w:lineRule="auto"/>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authentication and delivery of such Securities by the Trustee are authorized under the provisions of this Indenture, and</w:t>
      </w:r>
    </w:p>
    <w:p>
      <w:pPr>
        <w:spacing w:after="0" w:line="153" w:lineRule="exact"/>
        <w:rPr>
          <w:rFonts w:ascii="Arial" w:cs="Arial" w:eastAsia="Arial" w:hAnsi="Arial"/>
          <w:sz w:val="16"/>
          <w:szCs w:val="16"/>
          <w:color w:val="auto"/>
        </w:rPr>
      </w:pPr>
    </w:p>
    <w:p>
      <w:pPr>
        <w:ind w:left="1960" w:right="260" w:hanging="533"/>
        <w:spacing w:after="0" w:line="342" w:lineRule="auto"/>
        <w:tabs>
          <w:tab w:leader="none" w:pos="19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3" w:name="page124"/>
    <w:bookmarkEnd w:id="123"/>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8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7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8"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as used with respect to any Interest Payment Date (except a date for payment of defaulted interest) for the Securities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24" w:name="page125"/>
    <w:bookmarkEnd w:id="124"/>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6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25" w:name="page126"/>
    <w:bookmarkEnd w:id="125"/>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71" w:lineRule="exact"/>
        <w:rPr>
          <w:sz w:val="20"/>
          <w:szCs w:val="20"/>
          <w:color w:val="auto"/>
        </w:rPr>
      </w:pPr>
    </w:p>
    <w:p>
      <w:pPr>
        <w:ind w:left="2400" w:right="560" w:hanging="433"/>
        <w:spacing w:after="0" w:line="263" w:lineRule="auto"/>
        <w:tabs>
          <w:tab w:leader="none" w:pos="2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89" w:lineRule="exact"/>
        <w:rPr>
          <w:rFonts w:ascii="Arial" w:cs="Arial" w:eastAsia="Arial" w:hAnsi="Arial"/>
          <w:sz w:val="18"/>
          <w:szCs w:val="18"/>
          <w:color w:val="auto"/>
        </w:rPr>
      </w:pPr>
    </w:p>
    <w:p>
      <w:pPr>
        <w:ind w:left="2400" w:right="480" w:hanging="433"/>
        <w:spacing w:after="0" w:line="263" w:lineRule="auto"/>
        <w:tabs>
          <w:tab w:leader="none" w:pos="2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84"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6" w:name="page127"/>
    <w:bookmarkEnd w:id="126"/>
    <w:p>
      <w:pPr>
        <w:ind w:right="1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6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 OF THE ISSUER</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27" w:name="page128"/>
    <w:bookmarkEnd w:id="127"/>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Offices for Payments, Etc</w:t>
      </w:r>
      <w:r>
        <w:rPr>
          <w:rFonts w:ascii="Arial" w:cs="Arial" w:eastAsia="Arial" w:hAnsi="Arial"/>
          <w:sz w:val="16"/>
          <w:szCs w:val="16"/>
          <w:color w:val="auto"/>
        </w:rPr>
        <w:t>. The Issuer will maintain (i) in _______, an agency where the Securities of each series may be presented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will maintain in __________, an agency where notices and demands to or upon the Issuer in respect of the Securities of any series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 may be served.</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w:t>
      </w:r>
    </w:p>
    <w:p>
      <w:pPr>
        <w:spacing w:after="0"/>
        <w:rPr>
          <w:sz w:val="20"/>
          <w:szCs w:val="20"/>
          <w:color w:val="auto"/>
        </w:rPr>
      </w:pPr>
      <w:r>
        <w:rPr>
          <w:rFonts w:ascii="Arial" w:cs="Arial" w:eastAsia="Arial" w:hAnsi="Arial"/>
          <w:sz w:val="16"/>
          <w:szCs w:val="16"/>
          <w:color w:val="auto"/>
        </w:rPr>
        <w:t>location of any of the above agencies, presentations and demands may be made and notices may be served at the Corporate Trust Office of the Trustee.</w:t>
      </w:r>
    </w:p>
    <w:p>
      <w:pPr>
        <w:spacing w:after="0" w:line="23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89" w:lineRule="exact"/>
        <w:rPr>
          <w:sz w:val="20"/>
          <w:szCs w:val="20"/>
          <w:color w:val="auto"/>
        </w:rPr>
      </w:pPr>
    </w:p>
    <w:p>
      <w:pPr>
        <w:ind w:left="1420" w:right="120" w:hanging="439"/>
        <w:spacing w:after="0" w:line="263"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29" w:lineRule="exact"/>
        <w:rPr>
          <w:rFonts w:ascii="Arial" w:cs="Arial" w:eastAsia="Arial" w:hAnsi="Arial"/>
          <w:sz w:val="16"/>
          <w:szCs w:val="16"/>
          <w:color w:val="auto"/>
        </w:rPr>
      </w:pPr>
    </w:p>
    <w:p>
      <w:pPr>
        <w:ind w:left="1420" w:right="560" w:hanging="43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28" w:name="page129"/>
    <w:bookmarkEnd w:id="128"/>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1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89" w:lineRule="exact"/>
        <w:rPr>
          <w:sz w:val="20"/>
          <w:szCs w:val="20"/>
          <w:color w:val="auto"/>
        </w:rPr>
      </w:pPr>
    </w:p>
    <w:p>
      <w:pPr>
        <w:ind w:left="1420" w:right="200" w:hanging="439"/>
        <w:spacing w:after="0" w:line="263" w:lineRule="auto"/>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89" w:lineRule="exact"/>
        <w:rPr>
          <w:rFonts w:ascii="Arial" w:cs="Arial" w:eastAsia="Arial" w:hAnsi="Arial"/>
          <w:sz w:val="18"/>
          <w:szCs w:val="18"/>
          <w:color w:val="auto"/>
        </w:rPr>
      </w:pPr>
    </w:p>
    <w:p>
      <w:pPr>
        <w:ind w:left="1420" w:right="180" w:hanging="439"/>
        <w:spacing w:after="0" w:line="286" w:lineRule="auto"/>
        <w:tabs>
          <w:tab w:leader="none" w:pos="1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so long as the Trustee shall be the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for such series, such list shall not be required to be furnished.</w:t>
      </w:r>
    </w:p>
    <w:p>
      <w:pPr>
        <w:spacing w:after="0" w:line="16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 or before ______ in each year following the date hereof, so long as any Securities are Outstanding hereunder, and shall be dated as of a date convenient</w:t>
      </w:r>
    </w:p>
    <w:p>
      <w:pPr>
        <w:ind w:right="280"/>
        <w:spacing w:after="0" w:line="260" w:lineRule="auto"/>
        <w:rPr>
          <w:sz w:val="20"/>
          <w:szCs w:val="20"/>
          <w:color w:val="auto"/>
        </w:rPr>
      </w:pPr>
      <w:r>
        <w:rPr>
          <w:rFonts w:ascii="Arial" w:cs="Arial" w:eastAsia="Arial" w:hAnsi="Arial"/>
          <w:sz w:val="18"/>
          <w:szCs w:val="18"/>
          <w:color w:val="auto"/>
        </w:rPr>
        <w:t>to the Trustee but no more than 60 nor less than 45 days prior thereto. The Trustee shall comply with Sections 313(b), 313(c) and 313(d) of the Trust Indenture Act of 1939.</w:t>
      </w:r>
    </w:p>
    <w:p>
      <w:pPr>
        <w:spacing w:after="0" w:line="18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29" w:name="page130"/>
    <w:bookmarkEnd w:id="129"/>
    <w:p>
      <w:pPr>
        <w:ind w:left="1420" w:hanging="439"/>
        <w:spacing w:after="0"/>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89" w:lineRule="exact"/>
        <w:rPr>
          <w:sz w:val="20"/>
          <w:szCs w:val="20"/>
          <w:color w:val="auto"/>
        </w:rPr>
      </w:pPr>
    </w:p>
    <w:p>
      <w:pPr>
        <w:jc w:val="both"/>
        <w:ind w:left="1420" w:hanging="439"/>
        <w:spacing w:after="0" w:line="263"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89" w:lineRule="exact"/>
        <w:rPr>
          <w:rFonts w:ascii="Arial" w:cs="Arial" w:eastAsia="Arial" w:hAnsi="Arial"/>
          <w:sz w:val="18"/>
          <w:szCs w:val="18"/>
          <w:color w:val="auto"/>
        </w:rPr>
      </w:pPr>
    </w:p>
    <w:p>
      <w:pPr>
        <w:ind w:left="1420" w:right="60" w:hanging="439"/>
        <w:spacing w:after="0" w:line="286" w:lineRule="auto"/>
        <w:tabs>
          <w:tab w:leader="none" w:pos="14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70" w:lineRule="exact"/>
        <w:rPr>
          <w:rFonts w:ascii="Arial" w:cs="Arial" w:eastAsia="Arial" w:hAnsi="Arial"/>
          <w:sz w:val="17"/>
          <w:szCs w:val="17"/>
          <w:color w:val="auto"/>
        </w:rPr>
      </w:pPr>
    </w:p>
    <w:p>
      <w:pPr>
        <w:ind w:left="1420" w:right="60" w:hanging="439"/>
        <w:spacing w:after="0" w:line="273" w:lineRule="auto"/>
        <w:tabs>
          <w:tab w:leader="none" w:pos="14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or</w:t>
      </w:r>
    </w:p>
    <w:p>
      <w:pPr>
        <w:spacing w:after="0" w:line="83" w:lineRule="exact"/>
        <w:rPr>
          <w:rFonts w:ascii="Arial" w:cs="Arial" w:eastAsia="Arial" w:hAnsi="Arial"/>
          <w:sz w:val="17"/>
          <w:szCs w:val="17"/>
          <w:color w:val="auto"/>
        </w:rPr>
      </w:pPr>
    </w:p>
    <w:p>
      <w:pPr>
        <w:ind w:left="1420" w:right="80" w:hanging="439"/>
        <w:spacing w:after="0" w:line="25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93" w:lineRule="exact"/>
        <w:rPr>
          <w:rFonts w:ascii="Arial" w:cs="Arial" w:eastAsia="Arial" w:hAnsi="Arial"/>
          <w:sz w:val="18"/>
          <w:szCs w:val="18"/>
          <w:color w:val="auto"/>
        </w:rPr>
      </w:pPr>
    </w:p>
    <w:p>
      <w:pPr>
        <w:jc w:val="both"/>
        <w:ind w:left="1420" w:right="300" w:hanging="439"/>
        <w:spacing w:after="0" w:line="301" w:lineRule="auto"/>
        <w:tabs>
          <w:tab w:leader="none" w:pos="14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30" w:name="page131"/>
    <w:bookmarkEnd w:id="130"/>
    <w:p>
      <w:pPr>
        <w:ind w:right="10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6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31" w:name="page132"/>
    <w:bookmarkEnd w:id="131"/>
    <w:p>
      <w:pPr>
        <w:jc w:val="both"/>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83" w:lineRule="exact"/>
        <w:rPr>
          <w:sz w:val="20"/>
          <w:szCs w:val="20"/>
          <w:color w:val="auto"/>
        </w:rPr>
      </w:pPr>
    </w:p>
    <w:p>
      <w:pPr>
        <w:ind w:left="2400" w:hanging="433"/>
        <w:spacing w:after="0" w:line="290" w:lineRule="auto"/>
        <w:tabs>
          <w:tab w:leader="none" w:pos="24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70" w:lineRule="exact"/>
        <w:rPr>
          <w:rFonts w:ascii="Arial" w:cs="Arial" w:eastAsia="Arial" w:hAnsi="Arial"/>
          <w:sz w:val="16"/>
          <w:szCs w:val="16"/>
          <w:color w:val="auto"/>
        </w:rPr>
      </w:pPr>
    </w:p>
    <w:p>
      <w:pPr>
        <w:ind w:left="2400" w:right="180" w:hanging="433"/>
        <w:spacing w:after="0" w:line="286" w:lineRule="auto"/>
        <w:tabs>
          <w:tab w:leader="none" w:pos="2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70" w:lineRule="exact"/>
        <w:rPr>
          <w:rFonts w:ascii="Arial" w:cs="Arial" w:eastAsia="Arial" w:hAnsi="Arial"/>
          <w:sz w:val="17"/>
          <w:szCs w:val="17"/>
          <w:color w:val="auto"/>
        </w:rPr>
      </w:pPr>
    </w:p>
    <w:p>
      <w:pPr>
        <w:ind w:left="2400" w:right="60" w:hanging="433"/>
        <w:spacing w:after="0" w:line="290" w:lineRule="auto"/>
        <w:tabs>
          <w:tab w:leader="none" w:pos="24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6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32" w:name="page133"/>
    <w:bookmarkEnd w:id="132"/>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117" w:lineRule="exact"/>
        <w:rPr>
          <w:sz w:val="20"/>
          <w:szCs w:val="20"/>
          <w:color w:val="auto"/>
        </w:rPr>
      </w:pPr>
    </w:p>
    <w:p>
      <w:pPr>
        <w:ind w:left="440" w:right="200" w:firstLine="423"/>
        <w:spacing w:after="0" w:line="296"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53" w:lineRule="exact"/>
        <w:rPr>
          <w:sz w:val="20"/>
          <w:szCs w:val="20"/>
          <w:color w:val="auto"/>
        </w:rPr>
      </w:pPr>
    </w:p>
    <w:p>
      <w:pPr>
        <w:ind w:left="440" w:right="20" w:firstLine="423"/>
        <w:spacing w:after="0" w:line="290"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33" w:name="page134"/>
    <w:bookmarkEnd w:id="133"/>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7"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jc w:val="both"/>
        <w:ind w:right="240" w:firstLine="440"/>
        <w:spacing w:after="0" w:line="301"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34" w:name="page135"/>
    <w:bookmarkEnd w:id="134"/>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7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Arial" w:cs="Arial" w:eastAsia="Arial" w:hAnsi="Arial"/>
          <w:sz w:val="17"/>
          <w:szCs w:val="17"/>
          <w:b w:val="1"/>
          <w:bCs w:val="1"/>
          <w:color w:val="auto"/>
        </w:rPr>
        <w:t>defaults</w:t>
      </w:r>
      <w:r>
        <w:rPr>
          <w:rFonts w:ascii="Arial" w:cs="Arial" w:eastAsia="Arial" w:hAnsi="Arial"/>
          <w:sz w:val="17"/>
          <w:szCs w:val="17"/>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Right of Court to Require Filing of Undertaking to Pay Costs</w:t>
      </w:r>
      <w:r>
        <w:rPr>
          <w:rFonts w:ascii="Arial" w:cs="Arial" w:eastAsia="Arial" w:hAnsi="Arial"/>
          <w:sz w:val="17"/>
          <w:szCs w:val="17"/>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Duties and Responsibilities of the Trustee; During Default; Prior to Default.</w:t>
      </w:r>
      <w:r>
        <w:rPr>
          <w:rFonts w:ascii="Arial" w:cs="Arial" w:eastAsia="Arial" w:hAnsi="Arial"/>
          <w:sz w:val="18"/>
          <w:szCs w:val="18"/>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35" w:name="page136"/>
    <w:bookmarkEnd w:id="1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42" w:lineRule="exact"/>
        <w:rPr>
          <w:sz w:val="20"/>
          <w:szCs w:val="20"/>
          <w:color w:val="auto"/>
        </w:rPr>
      </w:pPr>
    </w:p>
    <w:p>
      <w:pPr>
        <w:ind w:left="1420" w:right="60" w:hanging="439"/>
        <w:spacing w:after="0" w:line="275" w:lineRule="auto"/>
        <w:tabs>
          <w:tab w:leader="none" w:pos="1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81" w:lineRule="exact"/>
        <w:rPr>
          <w:rFonts w:ascii="Arial" w:cs="Arial" w:eastAsia="Arial" w:hAnsi="Arial"/>
          <w:sz w:val="17"/>
          <w:szCs w:val="17"/>
          <w:color w:val="auto"/>
        </w:rPr>
      </w:pPr>
    </w:p>
    <w:p>
      <w:pPr>
        <w:ind w:left="1420" w:right="100" w:hanging="43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75" w:lineRule="exact"/>
        <w:rPr>
          <w:rFonts w:ascii="Arial" w:cs="Arial" w:eastAsia="Arial" w:hAnsi="Arial"/>
          <w:sz w:val="18"/>
          <w:szCs w:val="18"/>
          <w:color w:val="auto"/>
        </w:rPr>
      </w:pPr>
    </w:p>
    <w:p>
      <w:pPr>
        <w:jc w:val="both"/>
        <w:ind w:left="1420" w:right="460" w:hanging="439"/>
        <w:spacing w:after="0" w:line="311" w:lineRule="auto"/>
        <w:tabs>
          <w:tab w:leader="none" w:pos="14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54" w:lineRule="exact"/>
        <w:rPr>
          <w:rFonts w:ascii="Arial" w:cs="Arial" w:eastAsia="Arial" w:hAnsi="Arial"/>
          <w:sz w:val="16"/>
          <w:szCs w:val="16"/>
          <w:color w:val="auto"/>
        </w:rPr>
      </w:pPr>
    </w:p>
    <w:p>
      <w:pPr>
        <w:ind w:left="1420" w:right="280" w:hanging="439"/>
        <w:spacing w:after="0" w:line="259"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92" w:lineRule="exact"/>
        <w:rPr>
          <w:rFonts w:ascii="Arial" w:cs="Arial" w:eastAsia="Arial" w:hAnsi="Arial"/>
          <w:sz w:val="18"/>
          <w:szCs w:val="18"/>
          <w:color w:val="auto"/>
        </w:rPr>
      </w:pPr>
    </w:p>
    <w:p>
      <w:pPr>
        <w:ind w:left="1420" w:hanging="439"/>
        <w:spacing w:after="0" w:line="286" w:lineRule="auto"/>
        <w:tabs>
          <w:tab w:leader="none" w:pos="1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70" w:lineRule="exact"/>
        <w:rPr>
          <w:rFonts w:ascii="Arial" w:cs="Arial" w:eastAsia="Arial" w:hAnsi="Arial"/>
          <w:sz w:val="17"/>
          <w:szCs w:val="17"/>
          <w:color w:val="auto"/>
        </w:rPr>
      </w:pPr>
    </w:p>
    <w:p>
      <w:pPr>
        <w:jc w:val="both"/>
        <w:ind w:left="1420" w:right="300" w:hanging="439"/>
        <w:spacing w:after="0" w:line="311" w:lineRule="auto"/>
        <w:tabs>
          <w:tab w:leader="none" w:pos="14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54" w:lineRule="exact"/>
        <w:rPr>
          <w:rFonts w:ascii="Arial" w:cs="Arial" w:eastAsia="Arial" w:hAnsi="Arial"/>
          <w:sz w:val="16"/>
          <w:szCs w:val="16"/>
          <w:color w:val="auto"/>
        </w:rPr>
      </w:pPr>
    </w:p>
    <w:p>
      <w:pPr>
        <w:ind w:left="1420" w:right="80" w:hanging="439"/>
        <w:spacing w:after="0" w:line="263"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136" w:name="page137"/>
    <w:bookmarkEnd w:id="136"/>
    <w:p>
      <w:pPr>
        <w:ind w:left="1420" w:hanging="439"/>
        <w:spacing w:after="0" w:line="311" w:lineRule="auto"/>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54" w:lineRule="exact"/>
        <w:rPr>
          <w:rFonts w:ascii="Arial" w:cs="Arial" w:eastAsia="Arial" w:hAnsi="Arial"/>
          <w:sz w:val="16"/>
          <w:szCs w:val="16"/>
          <w:color w:val="auto"/>
        </w:rPr>
      </w:pPr>
    </w:p>
    <w:p>
      <w:pPr>
        <w:ind w:left="1420" w:right="300" w:hanging="439"/>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75" w:lineRule="exact"/>
        <w:rPr>
          <w:rFonts w:ascii="Arial" w:cs="Arial" w:eastAsia="Arial" w:hAnsi="Arial"/>
          <w:sz w:val="18"/>
          <w:szCs w:val="18"/>
          <w:color w:val="auto"/>
        </w:rPr>
      </w:pPr>
    </w:p>
    <w:p>
      <w:pPr>
        <w:ind w:left="1420" w:right="80" w:hanging="439"/>
        <w:spacing w:after="0" w:line="289" w:lineRule="auto"/>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71"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5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137" w:name="page138"/>
    <w:bookmarkEnd w:id="13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6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Section 6.07 Right of Trustee to Rely on Officer’s Certificate, Etc.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74" w:lineRule="exact"/>
        <w:rPr>
          <w:sz w:val="20"/>
          <w:szCs w:val="20"/>
          <w:color w:val="auto"/>
        </w:rPr>
      </w:pPr>
    </w:p>
    <w:p>
      <w:pPr>
        <w:ind w:left="1420" w:hanging="439"/>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30" w:lineRule="exact"/>
        <w:rPr>
          <w:rFonts w:ascii="Arial" w:cs="Arial" w:eastAsia="Arial" w:hAnsi="Arial"/>
          <w:sz w:val="18"/>
          <w:szCs w:val="18"/>
          <w:color w:val="auto"/>
        </w:rPr>
      </w:pPr>
    </w:p>
    <w:p>
      <w:pPr>
        <w:ind w:left="1960" w:right="40" w:hanging="533"/>
        <w:spacing w:after="0" w:line="263" w:lineRule="auto"/>
        <w:tabs>
          <w:tab w:leader="none" w:pos="19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38" w:name="page139"/>
    <w:bookmarkEnd w:id="138"/>
    <w:p>
      <w:pPr>
        <w:ind w:left="1960" w:right="160" w:hanging="533"/>
        <w:spacing w:after="0" w:line="277" w:lineRule="auto"/>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cease to be eligible in accordance with the provisions of Section 310(a) of the Trust Indenture Act of 1939 and shall fail to resign after written request therefor by the Issuer or by any Securityholder; or</w:t>
      </w:r>
    </w:p>
    <w:p>
      <w:pPr>
        <w:spacing w:after="0" w:line="75" w:lineRule="exact"/>
        <w:rPr>
          <w:rFonts w:ascii="Arial" w:cs="Arial" w:eastAsia="Arial" w:hAnsi="Arial"/>
          <w:sz w:val="18"/>
          <w:szCs w:val="18"/>
          <w:color w:val="auto"/>
        </w:rPr>
      </w:pPr>
    </w:p>
    <w:p>
      <w:pPr>
        <w:ind w:left="1960" w:right="400" w:hanging="533"/>
        <w:spacing w:after="0" w:line="311" w:lineRule="auto"/>
        <w:tabs>
          <w:tab w:leader="none" w:pos="19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41"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00" w:lineRule="exact"/>
        <w:rPr>
          <w:sz w:val="20"/>
          <w:szCs w:val="20"/>
          <w:color w:val="auto"/>
        </w:rPr>
      </w:pPr>
    </w:p>
    <w:p>
      <w:pPr>
        <w:ind w:left="1420" w:hanging="439"/>
        <w:spacing w:after="0" w:line="279" w:lineRule="auto"/>
        <w:tabs>
          <w:tab w:leader="none" w:pos="1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76" w:lineRule="exact"/>
        <w:rPr>
          <w:rFonts w:ascii="Arial" w:cs="Arial" w:eastAsia="Arial" w:hAnsi="Arial"/>
          <w:sz w:val="17"/>
          <w:szCs w:val="17"/>
          <w:color w:val="auto"/>
        </w:rPr>
      </w:pPr>
    </w:p>
    <w:p>
      <w:pPr>
        <w:jc w:val="both"/>
        <w:ind w:left="1420" w:right="60" w:hanging="439"/>
        <w:spacing w:after="0" w:line="263"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6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39" w:name="page140"/>
    <w:bookmarkEnd w:id="139"/>
    <w:p>
      <w:pPr>
        <w:jc w:val="both"/>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9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40" w:name="page141"/>
    <w:bookmarkEnd w:id="14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89" w:lineRule="exact"/>
        <w:rPr>
          <w:sz w:val="20"/>
          <w:szCs w:val="20"/>
          <w:color w:val="auto"/>
        </w:rPr>
      </w:pPr>
    </w:p>
    <w:p>
      <w:pPr>
        <w:ind w:left="1420" w:right="400" w:hanging="43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convey, transfer, assign, mortgage or pledge to the Trustee as security for the Securities of one or more series any property or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41" w:name="page142"/>
    <w:bookmarkEnd w:id="141"/>
    <w:p>
      <w:pPr>
        <w:ind w:left="1420" w:right="260" w:hanging="439"/>
        <w:spacing w:after="0" w:line="308" w:lineRule="auto"/>
        <w:tabs>
          <w:tab w:leader="none" w:pos="1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the succession of another Person to the Issuer, or successive successions, and the assumption by such successor of the covenants, agreements and obligations of the Issuer pursuant to, or to otherwise comply with, Article 9;</w:t>
      </w:r>
    </w:p>
    <w:p>
      <w:pPr>
        <w:spacing w:after="0" w:line="51" w:lineRule="exact"/>
        <w:rPr>
          <w:rFonts w:ascii="Arial" w:cs="Arial" w:eastAsia="Arial" w:hAnsi="Arial"/>
          <w:sz w:val="17"/>
          <w:szCs w:val="17"/>
          <w:color w:val="auto"/>
        </w:rPr>
      </w:pPr>
    </w:p>
    <w:p>
      <w:pPr>
        <w:ind w:left="1420" w:right="140" w:hanging="439"/>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75" w:lineRule="exact"/>
        <w:rPr>
          <w:rFonts w:ascii="Arial" w:cs="Arial" w:eastAsia="Arial" w:hAnsi="Arial"/>
          <w:sz w:val="18"/>
          <w:szCs w:val="18"/>
          <w:color w:val="auto"/>
        </w:rPr>
      </w:pPr>
    </w:p>
    <w:p>
      <w:pPr>
        <w:ind w:left="1420" w:hanging="439"/>
        <w:spacing w:after="0" w:line="25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01" w:lineRule="exact"/>
        <w:rPr>
          <w:rFonts w:ascii="Arial" w:cs="Arial" w:eastAsia="Arial" w:hAnsi="Arial"/>
          <w:sz w:val="18"/>
          <w:szCs w:val="18"/>
          <w:color w:val="auto"/>
        </w:rPr>
      </w:pPr>
    </w:p>
    <w:p>
      <w:pPr>
        <w:ind w:left="1420" w:right="200" w:hanging="439"/>
        <w:spacing w:after="0" w:line="342" w:lineRule="auto"/>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30" w:lineRule="exact"/>
        <w:rPr>
          <w:rFonts w:ascii="Arial" w:cs="Arial" w:eastAsia="Arial" w:hAnsi="Arial"/>
          <w:sz w:val="18"/>
          <w:szCs w:val="18"/>
          <w:color w:val="auto"/>
        </w:rPr>
      </w:pPr>
    </w:p>
    <w:p>
      <w:pPr>
        <w:ind w:left="1420" w:right="200" w:hanging="439"/>
        <w:spacing w:after="0" w:line="286" w:lineRule="auto"/>
        <w:tabs>
          <w:tab w:leader="none" w:pos="1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70" w:lineRule="exact"/>
        <w:rPr>
          <w:rFonts w:ascii="Arial" w:cs="Arial" w:eastAsia="Arial" w:hAnsi="Arial"/>
          <w:sz w:val="17"/>
          <w:szCs w:val="17"/>
          <w:color w:val="auto"/>
        </w:rPr>
      </w:pPr>
    </w:p>
    <w:p>
      <w:pPr>
        <w:ind w:left="1420" w:right="20" w:hanging="439"/>
        <w:spacing w:after="0" w:line="301" w:lineRule="auto"/>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42" w:name="page143"/>
    <w:bookmarkEnd w:id="142"/>
    <w:p>
      <w:pPr>
        <w:ind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82"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43" w:name="page144"/>
    <w:bookmarkEnd w:id="143"/>
    <w:p>
      <w:pPr>
        <w:ind w:left="4"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68" w:lineRule="auto"/>
        <w:tabs>
          <w:tab w:leader="none" w:pos="26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44" w:name="page145"/>
    <w:bookmarkEnd w:id="144"/>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of any such consolidation, merger, sale, lease or conveyance, such changes in phraseology and form (but not in substance) may be made in the Securities thereafter to be issued as may be appropriate.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 DEFEASANCE; UNCLAIMED MONEYS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31" w:lineRule="exact"/>
        <w:rPr>
          <w:sz w:val="20"/>
          <w:szCs w:val="20"/>
          <w:color w:val="auto"/>
        </w:rPr>
      </w:pPr>
    </w:p>
    <w:p>
      <w:pPr>
        <w:ind w:left="1960" w:hanging="533"/>
        <w:spacing w:after="0" w:line="259" w:lineRule="auto"/>
        <w:tabs>
          <w:tab w:leader="none" w:pos="1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92" w:lineRule="exact"/>
        <w:rPr>
          <w:rFonts w:ascii="Arial" w:cs="Arial" w:eastAsia="Arial" w:hAnsi="Arial"/>
          <w:sz w:val="18"/>
          <w:szCs w:val="18"/>
          <w:color w:val="auto"/>
        </w:rPr>
      </w:pPr>
    </w:p>
    <w:p>
      <w:pPr>
        <w:ind w:left="1960" w:right="40" w:hanging="533"/>
        <w:spacing w:after="0" w:line="263" w:lineRule="auto"/>
        <w:tabs>
          <w:tab w:leader="none" w:pos="1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89" w:lineRule="exact"/>
        <w:rPr>
          <w:rFonts w:ascii="Arial" w:cs="Arial" w:eastAsia="Arial" w:hAnsi="Arial"/>
          <w:sz w:val="18"/>
          <w:szCs w:val="18"/>
          <w:color w:val="auto"/>
        </w:rPr>
      </w:pPr>
    </w:p>
    <w:p>
      <w:pPr>
        <w:jc w:val="both"/>
        <w:ind w:left="1960" w:right="160" w:hanging="533"/>
        <w:spacing w:after="0" w:line="263" w:lineRule="auto"/>
        <w:tabs>
          <w:tab w:leader="none" w:pos="1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89" w:lineRule="exact"/>
        <w:rPr>
          <w:rFonts w:ascii="Arial" w:cs="Arial" w:eastAsia="Arial" w:hAnsi="Arial"/>
          <w:sz w:val="18"/>
          <w:szCs w:val="18"/>
          <w:color w:val="auto"/>
        </w:rPr>
      </w:pPr>
    </w:p>
    <w:p>
      <w:pPr>
        <w:ind w:left="2400" w:right="40" w:hanging="433"/>
        <w:spacing w:after="0" w:line="259" w:lineRule="auto"/>
        <w:tabs>
          <w:tab w:leader="none" w:pos="24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92" w:lineRule="exact"/>
        <w:rPr>
          <w:rFonts w:ascii="Arial" w:cs="Arial" w:eastAsia="Arial" w:hAnsi="Arial"/>
          <w:sz w:val="18"/>
          <w:szCs w:val="18"/>
          <w:color w:val="auto"/>
        </w:rPr>
      </w:pPr>
    </w:p>
    <w:p>
      <w:pPr>
        <w:ind w:left="2400" w:hanging="433"/>
        <w:spacing w:after="0"/>
        <w:tabs>
          <w:tab w:leader="none" w:pos="24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Issuer shall have irrevocably deposited or caused to be deposited with the Trustee as trust funds the entire amount</w:t>
      </w:r>
    </w:p>
    <w:p>
      <w:pPr>
        <w:spacing w:after="0" w:line="46" w:lineRule="exact"/>
        <w:rPr>
          <w:rFonts w:ascii="Arial" w:cs="Arial" w:eastAsia="Arial" w:hAnsi="Arial"/>
          <w:sz w:val="16"/>
          <w:szCs w:val="16"/>
          <w:color w:val="auto"/>
        </w:rPr>
      </w:pPr>
    </w:p>
    <w:p>
      <w:pPr>
        <w:ind w:left="2400"/>
        <w:spacing w:after="0" w:line="285" w:lineRule="auto"/>
        <w:rPr>
          <w:rFonts w:ascii="Arial" w:cs="Arial" w:eastAsia="Arial" w:hAnsi="Arial"/>
          <w:sz w:val="16"/>
          <w:szCs w:val="16"/>
          <w:color w:val="auto"/>
        </w:rPr>
      </w:pPr>
      <w:r>
        <w:rPr>
          <w:rFonts w:ascii="Arial" w:cs="Arial" w:eastAsia="Arial" w:hAnsi="Arial"/>
          <w:sz w:val="16"/>
          <w:szCs w:val="16"/>
          <w:color w:val="auto"/>
        </w:rPr>
        <w:t>(i)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45" w:name="page146"/>
    <w:bookmarkEnd w:id="14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73" w:lineRule="exact"/>
        <w:rPr>
          <w:sz w:val="20"/>
          <w:szCs w:val="20"/>
          <w:color w:val="auto"/>
        </w:rPr>
      </w:pPr>
    </w:p>
    <w:p>
      <w:pPr>
        <w:ind w:left="1420" w:hanging="439"/>
        <w:spacing w:after="0" w:line="286" w:lineRule="auto"/>
        <w:tabs>
          <w:tab w:leader="none" w:pos="14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6"/>
          <w:szCs w:val="16"/>
          <w:b w:val="1"/>
          <w:bCs w:val="1"/>
          <w:color w:val="auto"/>
        </w:rPr>
        <w:t>Legal Defeasance</w:t>
      </w:r>
      <w:r>
        <w:rPr>
          <w:rFonts w:ascii="Arial" w:cs="Arial" w:eastAsia="Arial" w:hAnsi="Arial"/>
          <w:sz w:val="16"/>
          <w:szCs w:val="16"/>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46" w:name="page147"/>
    <w:bookmarkEnd w:id="146"/>
    <w:p>
      <w:pPr>
        <w:ind w:left="439" w:right="160" w:hanging="439"/>
        <w:spacing w:after="0" w:line="284" w:lineRule="auto"/>
        <w:tabs>
          <w:tab w:leader="none" w:pos="439"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w:t>
      </w:r>
    </w:p>
    <w:p>
      <w:pPr>
        <w:spacing w:after="0" w:line="2" w:lineRule="exact"/>
        <w:rPr>
          <w:rFonts w:ascii="Arial" w:cs="Arial" w:eastAsia="Arial" w:hAnsi="Arial"/>
          <w:sz w:val="16"/>
          <w:szCs w:val="16"/>
          <w:color w:val="auto"/>
        </w:rPr>
      </w:pPr>
    </w:p>
    <w:p>
      <w:pPr>
        <w:ind w:left="439" w:hanging="7"/>
        <w:spacing w:after="0" w:line="286" w:lineRule="auto"/>
        <w:tabs>
          <w:tab w:leader="none" w:pos="65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77" w:lineRule="exact"/>
        <w:rPr>
          <w:rFonts w:ascii="Arial" w:cs="Arial" w:eastAsia="Arial" w:hAnsi="Arial"/>
          <w:sz w:val="16"/>
          <w:szCs w:val="16"/>
          <w:color w:val="auto"/>
        </w:rPr>
      </w:pPr>
    </w:p>
    <w:p>
      <w:pPr>
        <w:ind w:left="439" w:right="180" w:hanging="439"/>
        <w:spacing w:after="0" w:line="277" w:lineRule="auto"/>
        <w:tabs>
          <w:tab w:leader="none" w:pos="4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75" w:lineRule="exact"/>
        <w:rPr>
          <w:rFonts w:ascii="Arial" w:cs="Arial" w:eastAsia="Arial" w:hAnsi="Arial"/>
          <w:sz w:val="18"/>
          <w:szCs w:val="18"/>
          <w:color w:val="auto"/>
        </w:rPr>
      </w:pPr>
    </w:p>
    <w:p>
      <w:pPr>
        <w:ind w:left="979" w:hanging="533"/>
        <w:spacing w:after="0" w:line="268" w:lineRule="auto"/>
        <w:tabs>
          <w:tab w:leader="none" w:pos="979" w:val="left"/>
        </w:tabs>
        <w:numPr>
          <w:ilvl w:val="2"/>
          <w:numId w:val="129"/>
        </w:numPr>
        <w:rPr>
          <w:rFonts w:ascii="Arial" w:cs="Arial" w:eastAsia="Arial" w:hAnsi="Arial"/>
          <w:sz w:val="17"/>
          <w:szCs w:val="17"/>
          <w:color w:val="auto"/>
        </w:rPr>
      </w:pPr>
      <w:r>
        <w:rPr>
          <w:rFonts w:ascii="Arial" w:cs="Arial" w:eastAsia="Arial" w:hAnsi="Arial"/>
          <w:sz w:val="17"/>
          <w:szCs w:val="17"/>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17"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1421" w:top="274" w:right="459" w:bottom="1440" w:gutter="0" w:footer="0" w:header="0"/>
        </w:sectPr>
      </w:pPr>
    </w:p>
    <w:bookmarkStart w:id="147" w:name="page148"/>
    <w:bookmarkEnd w:id="147"/>
    <w:p>
      <w:pPr>
        <w:ind w:left="1960" w:right="160" w:hanging="533"/>
        <w:spacing w:after="0" w:line="263" w:lineRule="auto"/>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89" w:lineRule="exact"/>
        <w:rPr>
          <w:rFonts w:ascii="Arial" w:cs="Arial" w:eastAsia="Arial" w:hAnsi="Arial"/>
          <w:sz w:val="18"/>
          <w:szCs w:val="18"/>
          <w:color w:val="auto"/>
        </w:rPr>
      </w:pPr>
    </w:p>
    <w:p>
      <w:pPr>
        <w:ind w:left="1960" w:right="60" w:hanging="533"/>
        <w:spacing w:after="0" w:line="263" w:lineRule="auto"/>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89" w:lineRule="exact"/>
        <w:rPr>
          <w:rFonts w:ascii="Arial" w:cs="Arial" w:eastAsia="Arial" w:hAnsi="Arial"/>
          <w:sz w:val="18"/>
          <w:szCs w:val="18"/>
          <w:color w:val="auto"/>
        </w:rPr>
      </w:pPr>
    </w:p>
    <w:p>
      <w:pPr>
        <w:ind w:left="1960" w:right="60" w:hanging="533"/>
        <w:spacing w:after="0" w:line="291" w:lineRule="auto"/>
        <w:tabs>
          <w:tab w:leader="none" w:pos="1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71" w:lineRule="exact"/>
        <w:rPr>
          <w:rFonts w:ascii="Arial" w:cs="Arial" w:eastAsia="Arial" w:hAnsi="Arial"/>
          <w:sz w:val="16"/>
          <w:szCs w:val="16"/>
          <w:color w:val="auto"/>
        </w:rPr>
      </w:pPr>
    </w:p>
    <w:p>
      <w:pPr>
        <w:ind w:left="1960" w:right="60" w:hanging="533"/>
        <w:spacing w:after="0" w:line="257" w:lineRule="auto"/>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93" w:lineRule="exact"/>
        <w:rPr>
          <w:rFonts w:ascii="Arial" w:cs="Arial" w:eastAsia="Arial" w:hAnsi="Arial"/>
          <w:sz w:val="18"/>
          <w:szCs w:val="18"/>
          <w:color w:val="auto"/>
        </w:rPr>
      </w:pPr>
    </w:p>
    <w:p>
      <w:pPr>
        <w:ind w:left="1960" w:right="620" w:hanging="533"/>
        <w:spacing w:after="0" w:line="342" w:lineRule="auto"/>
        <w:tabs>
          <w:tab w:leader="none" w:pos="1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48" w:name="page149"/>
    <w:bookmarkEnd w:id="148"/>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6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Notices and Demands on Issuer, Trustee and Holders of Securities.</w:t>
      </w:r>
      <w:r>
        <w:rPr>
          <w:rFonts w:ascii="Arial" w:cs="Arial" w:eastAsia="Arial" w:hAnsi="Arial"/>
          <w:sz w:val="17"/>
          <w:szCs w:val="17"/>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Werewolf Therapeutics, Inc., 1030 Massachusetts Avenue, Suite 210, Cambridge, Massachusetts 02138, Attn: Chief Financial Officer. Any notice, direction, request or demand by the Issuer or any Holder of Securities to or upon the Trustee shall be deemed to have been sufficiently given or made, for all purposes, if given or made at _______, ________, Attn: _______.</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49" w:name="page150"/>
    <w:bookmarkEnd w:id="149"/>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50" w:name="page151"/>
    <w:bookmarkEnd w:id="150"/>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i w:val="1"/>
          <w:iCs w:val="1"/>
          <w:color w:val="auto"/>
        </w:rPr>
        <w:t>Notice of Redemption; Partial Redemptions.</w:t>
      </w:r>
      <w:r>
        <w:rPr>
          <w:rFonts w:ascii="Arial" w:cs="Arial" w:eastAsia="Arial" w:hAnsi="Arial"/>
          <w:sz w:val="17"/>
          <w:szCs w:val="17"/>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78" w:lineRule="exact"/>
        <w:rPr>
          <w:sz w:val="20"/>
          <w:szCs w:val="20"/>
          <w:color w:val="auto"/>
        </w:rPr>
      </w:pPr>
    </w:p>
    <w:p>
      <w:pPr>
        <w:jc w:val="both"/>
        <w:ind w:right="580" w:firstLine="440"/>
        <w:spacing w:after="0" w:line="259" w:lineRule="auto"/>
        <w:rPr>
          <w:sz w:val="20"/>
          <w:szCs w:val="20"/>
          <w:color w:val="auto"/>
        </w:rPr>
      </w:pPr>
      <w:r>
        <w:rPr>
          <w:rFonts w:ascii="Arial" w:cs="Arial" w:eastAsia="Arial" w:hAnsi="Arial"/>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51" w:name="page152"/>
    <w:bookmarkEnd w:id="151"/>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6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7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52" w:name="page153"/>
    <w:bookmarkEnd w:id="152"/>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right="260" w:firstLine="440"/>
        <w:spacing w:after="0" w:line="290"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53" w:name="page154"/>
    <w:bookmarkEnd w:id="153"/>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_____________.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WEREWOLF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J. Hicklin,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140"/>
          </w:cols>
          <w:pgMar w:left="440" w:top="274" w:right="1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WEREWOLF THERAPEUTICS,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-10160</wp:posOffset>
            </wp:positionV>
            <wp:extent cx="4572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156" w:name="page157"/>
    <w:bookmarkEnd w:id="156"/>
    <w:tbl>
      <w:tblPr>
        <w:tblLayout w:type="fixed"/>
        <w:tblInd w:w="4"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3"/>
          </w:tcPr>
          <w:p>
            <w:pPr>
              <w:ind w:left="640"/>
              <w:spacing w:after="0"/>
              <w:rPr>
                <w:sz w:val="20"/>
                <w:szCs w:val="20"/>
                <w:color w:val="auto"/>
              </w:rPr>
            </w:pPr>
            <w:r>
              <w:rPr>
                <w:rFonts w:ascii="Arial" w:cs="Arial" w:eastAsia="Arial" w:hAnsi="Arial"/>
                <w:sz w:val="18"/>
                <w:szCs w:val="18"/>
                <w:b w:val="1"/>
                <w:bCs w:val="1"/>
                <w:color w:val="auto"/>
              </w:rPr>
              <w:t xml:space="preserve">CROSS-REFERENCE TABLE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73"/>
        </w:trPr>
        <w:tc>
          <w:tcPr>
            <w:tcW w:w="3600" w:type="dxa"/>
            <w:vAlign w:val="bottom"/>
            <w:vMerge w:val="restart"/>
          </w:tcPr>
          <w:p>
            <w:pPr>
              <w:spacing w:after="0"/>
              <w:rPr>
                <w:sz w:val="20"/>
                <w:szCs w:val="20"/>
                <w:color w:val="auto"/>
              </w:rPr>
            </w:pPr>
            <w:r>
              <w:rPr>
                <w:rFonts w:ascii="Arial" w:cs="Arial" w:eastAsia="Arial" w:hAnsi="Arial"/>
                <w:sz w:val="14"/>
                <w:szCs w:val="14"/>
                <w:color w:val="auto"/>
              </w:rPr>
              <w:t>Section of Trust Indenture Act of 1939, as amended</w:t>
            </w: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Section of</w:t>
            </w:r>
          </w:p>
        </w:tc>
        <w:tc>
          <w:tcPr>
            <w:tcW w:w="0" w:type="dxa"/>
            <w:vAlign w:val="bottom"/>
          </w:tcPr>
          <w:p>
            <w:pPr>
              <w:spacing w:after="0"/>
              <w:rPr>
                <w:sz w:val="1"/>
                <w:szCs w:val="1"/>
                <w:color w:val="auto"/>
              </w:rPr>
            </w:pPr>
          </w:p>
        </w:tc>
      </w:tr>
      <w:tr>
        <w:trPr>
          <w:trHeight w:val="167"/>
        </w:trPr>
        <w:tc>
          <w:tcPr>
            <w:tcW w:w="3600" w:type="dxa"/>
            <w:vAlign w:val="bottom"/>
            <w:tcBorders>
              <w:bottom w:val="single" w:sz="8" w:color="auto"/>
            </w:tcBorders>
            <w:vMerge w:val="continue"/>
          </w:tcPr>
          <w:p>
            <w:pPr>
              <w:spacing w:after="0"/>
              <w:rPr>
                <w:sz w:val="14"/>
                <w:szCs w:val="14"/>
                <w:color w:val="auto"/>
              </w:rPr>
            </w:pPr>
          </w:p>
        </w:tc>
        <w:tc>
          <w:tcPr>
            <w:tcW w:w="6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310(b)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310(c)</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311(a)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311(b)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311(c)</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312(a)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312(b)</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312(c)</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313(a)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313(b)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313(c)</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313(d)</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314(b)</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314(c)</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9.01(c)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314(d)</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314(e)</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314(f)</w:t>
            </w: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315(a)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315(b)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315(c)</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315(d)</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315(e)</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316(a)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316(b)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316(c)</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317(a)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317(b)</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318(a)</w:t>
            </w:r>
          </w:p>
        </w:tc>
        <w:tc>
          <w:tcPr>
            <w:tcW w:w="7420" w:type="dxa"/>
            <w:vAlign w:val="bottom"/>
            <w:gridSpan w:val="3"/>
          </w:tcPr>
          <w:p>
            <w:pPr>
              <w:ind w:left="65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24" w:right="600" w:hanging="224"/>
        <w:spacing w:after="0" w:line="277" w:lineRule="auto"/>
        <w:tabs>
          <w:tab w:leader="none" w:pos="224" w:val="left"/>
        </w:tabs>
        <w:numPr>
          <w:ilvl w:val="0"/>
          <w:numId w:val="131"/>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70" w:right="4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4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r>
      <w:tr>
        <w:trPr>
          <w:trHeight w:val="406"/>
        </w:trPr>
        <w:tc>
          <w:tcPr>
            <w:tcW w:w="13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380" w:type="dxa"/>
            <w:vAlign w:val="bottom"/>
          </w:tcPr>
          <w:p>
            <w:pPr>
              <w:spacing w:after="0"/>
              <w:rPr>
                <w:sz w:val="20"/>
                <w:szCs w:val="20"/>
                <w:color w:val="auto"/>
              </w:rPr>
            </w:pPr>
            <w:r>
              <w:rPr>
                <w:rFonts w:ascii="Arial" w:cs="Arial" w:eastAsia="Arial" w:hAnsi="Arial"/>
                <w:sz w:val="18"/>
                <w:szCs w:val="18"/>
                <w:color w:val="auto"/>
              </w:rPr>
              <w:t>ARTICLE 1</w:t>
            </w:r>
          </w:p>
        </w:tc>
        <w:tc>
          <w:tcPr>
            <w:tcW w:w="80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1.01   Certain Terms Defined</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ARTICLE 2</w:t>
            </w:r>
          </w:p>
        </w:tc>
        <w:tc>
          <w:tcPr>
            <w:tcW w:w="80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2.01</w:t>
            </w:r>
          </w:p>
        </w:tc>
        <w:tc>
          <w:tcPr>
            <w:tcW w:w="8040" w:type="dxa"/>
            <w:vAlign w:val="bottom"/>
          </w:tcPr>
          <w:p>
            <w:pPr>
              <w:ind w:left="140"/>
              <w:spacing w:after="0"/>
              <w:rPr>
                <w:sz w:val="20"/>
                <w:szCs w:val="20"/>
                <w:color w:val="auto"/>
              </w:rPr>
            </w:pPr>
            <w:r>
              <w:rPr>
                <w:rFonts w:ascii="Arial" w:cs="Arial" w:eastAsia="Arial" w:hAnsi="Arial"/>
                <w:sz w:val="18"/>
                <w:szCs w:val="18"/>
                <w:color w:val="auto"/>
              </w:rPr>
              <w:t>Forms Generally</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2.02   Form of Trustee’s Certificate of Authentication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2.03   Amount Unlimited; Issuable in Series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2.04   Authentication and Delivery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2.05   Execution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2.06   Certificate of Authentication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2.07   Denomination and Date of Securities; Payments of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2.08   Registration, Transfer and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2.09   Mutilated, Defaced, Destroyed, Lost and Stolen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2.10   Cancellation of Securities; Destruction Thereof</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2.11</w:t>
            </w:r>
          </w:p>
        </w:tc>
        <w:tc>
          <w:tcPr>
            <w:tcW w:w="804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2.12</w:t>
            </w:r>
          </w:p>
        </w:tc>
        <w:tc>
          <w:tcPr>
            <w:tcW w:w="804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ARTICLE 3</w:t>
            </w:r>
          </w:p>
        </w:tc>
        <w:tc>
          <w:tcPr>
            <w:tcW w:w="8040" w:type="dxa"/>
            <w:vAlign w:val="bottom"/>
          </w:tcPr>
          <w:p>
            <w:pPr>
              <w:ind w:left="140"/>
              <w:spacing w:after="0"/>
              <w:rPr>
                <w:sz w:val="20"/>
                <w:szCs w:val="20"/>
                <w:color w:val="auto"/>
              </w:rPr>
            </w:pPr>
            <w:r>
              <w:rPr>
                <w:rFonts w:ascii="Arial" w:cs="Arial" w:eastAsia="Arial" w:hAnsi="Arial"/>
                <w:sz w:val="18"/>
                <w:szCs w:val="18"/>
                <w:color w:val="auto"/>
              </w:rPr>
              <w:t>COVENANTS OF THE ISSUER</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3.01   Payment of Principal and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3.02   Offices for Payments, Etc.</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3.03   Appointment to Fill a Vacancy in Office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3.04</w:t>
            </w:r>
          </w:p>
        </w:tc>
        <w:tc>
          <w:tcPr>
            <w:tcW w:w="804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3.05   Written Statement to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ARTICLE 4</w:t>
            </w:r>
          </w:p>
        </w:tc>
        <w:tc>
          <w:tcPr>
            <w:tcW w:w="8040" w:type="dxa"/>
            <w:vAlign w:val="bottom"/>
          </w:tcPr>
          <w:p>
            <w:pPr>
              <w:ind w:left="140"/>
              <w:spacing w:after="0"/>
              <w:rPr>
                <w:sz w:val="20"/>
                <w:szCs w:val="20"/>
                <w:color w:val="auto"/>
              </w:rPr>
            </w:pPr>
            <w:r>
              <w:rPr>
                <w:rFonts w:ascii="Arial" w:cs="Arial" w:eastAsia="Arial" w:hAnsi="Arial"/>
                <w:sz w:val="18"/>
                <w:szCs w:val="18"/>
                <w:color w:val="auto"/>
              </w:rPr>
              <w:t>SECURITYHOLDERS LISTS AND REPORTS BY THE ISSUER AND THE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4.01   Issuer to Furnish Trustee Information as to Names and Addresses of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4.02   Reports by the Issuer</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4.03   Reports by the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4.04   Preservation of Information; Communication with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ARTICLE 5</w:t>
            </w:r>
          </w:p>
        </w:tc>
        <w:tc>
          <w:tcPr>
            <w:tcW w:w="8040" w:type="dxa"/>
            <w:vAlign w:val="bottom"/>
          </w:tcPr>
          <w:p>
            <w:pPr>
              <w:ind w:left="140"/>
              <w:spacing w:after="0"/>
              <w:rPr>
                <w:sz w:val="20"/>
                <w:szCs w:val="20"/>
                <w:color w:val="auto"/>
              </w:rPr>
            </w:pPr>
            <w:r>
              <w:rPr>
                <w:rFonts w:ascii="Arial" w:cs="Arial" w:eastAsia="Arial" w:hAnsi="Arial"/>
                <w:sz w:val="18"/>
                <w:szCs w:val="18"/>
                <w:color w:val="auto"/>
              </w:rPr>
              <w:t>REMEDIES OF THE TRUSTEE AND SECURITYHOLDERS ON EVENT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5.01   Event of Default Defined; Acceleration of Maturity; Waiver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5.02   Collection of Debt by Trustee; Trustee May Prove Debt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5.03   Application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5.04   Suits for Enforcement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5.05   Restoration of Rights on Abandonment of Proceedings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5.06   Limitations on Suits by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5.07   Unconditional Right of Securityholders to Institute Certain Suits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5.08   Powers and Remedies Cumulative; Delay or Omission Not Waiver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5.09   Control by Holders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5.10   Waiver of Past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5.11   Trustee to Give Notice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Section 5.12   Right of Court to Require Filing of Undertaking to Pay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8" w:name="page159"/>
    <w:bookmarkEnd w:id="158"/>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ARTICLE 6</w:t>
            </w:r>
          </w:p>
        </w:tc>
        <w:tc>
          <w:tcPr>
            <w:tcW w:w="8380" w:type="dxa"/>
            <w:vAlign w:val="bottom"/>
          </w:tcPr>
          <w:p>
            <w:pPr>
              <w:ind w:left="80"/>
              <w:spacing w:after="0"/>
              <w:rPr>
                <w:sz w:val="20"/>
                <w:szCs w:val="20"/>
                <w:color w:val="auto"/>
              </w:rPr>
            </w:pPr>
            <w:r>
              <w:rPr>
                <w:rFonts w:ascii="Arial" w:cs="Arial" w:eastAsia="Arial" w:hAnsi="Arial"/>
                <w:sz w:val="18"/>
                <w:szCs w:val="18"/>
                <w:color w:val="auto"/>
              </w:rPr>
              <w:t>CONCERNING THE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380" w:type="dxa"/>
            <w:vAlign w:val="bottom"/>
          </w:tcPr>
          <w:p>
            <w:pPr>
              <w:ind w:left="8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380" w:type="dxa"/>
            <w:vAlign w:val="bottom"/>
          </w:tcPr>
          <w:p>
            <w:pPr>
              <w:ind w:left="80"/>
              <w:spacing w:after="0"/>
              <w:rPr>
                <w:sz w:val="20"/>
                <w:szCs w:val="20"/>
                <w:color w:val="auto"/>
              </w:rPr>
            </w:pPr>
            <w:r>
              <w:rPr>
                <w:rFonts w:ascii="Arial" w:cs="Arial" w:eastAsia="Arial" w:hAnsi="Arial"/>
                <w:sz w:val="18"/>
                <w:szCs w:val="18"/>
                <w:color w:val="auto"/>
              </w:rPr>
              <w:t>Certain Rights of the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380" w:type="dxa"/>
            <w:vAlign w:val="bottom"/>
          </w:tcPr>
          <w:p>
            <w:pPr>
              <w:ind w:left="8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380" w:type="dxa"/>
            <w:vAlign w:val="bottom"/>
          </w:tcPr>
          <w:p>
            <w:pPr>
              <w:ind w:left="80"/>
              <w:spacing w:after="0"/>
              <w:rPr>
                <w:sz w:val="20"/>
                <w:szCs w:val="20"/>
                <w:color w:val="auto"/>
              </w:rPr>
            </w:pPr>
            <w:r>
              <w:rPr>
                <w:rFonts w:ascii="Arial" w:cs="Arial" w:eastAsia="Arial" w:hAnsi="Arial"/>
                <w:sz w:val="18"/>
                <w:szCs w:val="18"/>
                <w:color w:val="auto"/>
              </w:rPr>
              <w:t>Trustee and Agents May Hold Securities; Collections, Etc.</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380" w:type="dxa"/>
            <w:vAlign w:val="bottom"/>
          </w:tcPr>
          <w:p>
            <w:pPr>
              <w:ind w:left="80"/>
              <w:spacing w:after="0"/>
              <w:rPr>
                <w:sz w:val="20"/>
                <w:szCs w:val="20"/>
                <w:color w:val="auto"/>
              </w:rPr>
            </w:pPr>
            <w:r>
              <w:rPr>
                <w:rFonts w:ascii="Arial" w:cs="Arial" w:eastAsia="Arial" w:hAnsi="Arial"/>
                <w:sz w:val="18"/>
                <w:szCs w:val="18"/>
                <w:color w:val="auto"/>
              </w:rPr>
              <w:t>Moneys Held by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380" w:type="dxa"/>
            <w:vAlign w:val="bottom"/>
          </w:tcPr>
          <w:p>
            <w:pPr>
              <w:ind w:left="80"/>
              <w:spacing w:after="0"/>
              <w:rPr>
                <w:sz w:val="20"/>
                <w:szCs w:val="20"/>
                <w:color w:val="auto"/>
              </w:rPr>
            </w:pPr>
            <w:r>
              <w:rPr>
                <w:rFonts w:ascii="Arial" w:cs="Arial" w:eastAsia="Arial" w:hAnsi="Arial"/>
                <w:sz w:val="18"/>
                <w:szCs w:val="18"/>
                <w:color w:val="auto"/>
              </w:rPr>
              <w:t>Compensation and Indemnification of Trustee and Its Prior Claim</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380" w:type="dxa"/>
            <w:vAlign w:val="bottom"/>
          </w:tcPr>
          <w:p>
            <w:pPr>
              <w:ind w:left="80"/>
              <w:spacing w:after="0"/>
              <w:rPr>
                <w:sz w:val="20"/>
                <w:szCs w:val="20"/>
                <w:color w:val="auto"/>
              </w:rPr>
            </w:pPr>
            <w:r>
              <w:rPr>
                <w:rFonts w:ascii="Arial" w:cs="Arial" w:eastAsia="Arial" w:hAnsi="Arial"/>
                <w:sz w:val="18"/>
                <w:szCs w:val="18"/>
                <w:color w:val="auto"/>
              </w:rPr>
              <w:t>Right of Trustee to Rely on Officer’s Certificate, Etc.</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380" w:type="dxa"/>
            <w:vAlign w:val="bottom"/>
          </w:tcPr>
          <w:p>
            <w:pPr>
              <w:ind w:left="80"/>
              <w:spacing w:after="0"/>
              <w:rPr>
                <w:sz w:val="20"/>
                <w:szCs w:val="20"/>
                <w:color w:val="auto"/>
              </w:rPr>
            </w:pPr>
            <w:r>
              <w:rPr>
                <w:rFonts w:ascii="Arial" w:cs="Arial" w:eastAsia="Arial" w:hAnsi="Arial"/>
                <w:sz w:val="18"/>
                <w:szCs w:val="18"/>
                <w:color w:val="auto"/>
              </w:rPr>
              <w:t>Disqualification; Conflicting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380" w:type="dxa"/>
            <w:vAlign w:val="bottom"/>
          </w:tcPr>
          <w:p>
            <w:pPr>
              <w:ind w:left="80"/>
              <w:spacing w:after="0"/>
              <w:rPr>
                <w:sz w:val="20"/>
                <w:szCs w:val="20"/>
                <w:color w:val="auto"/>
              </w:rPr>
            </w:pPr>
            <w:r>
              <w:rPr>
                <w:rFonts w:ascii="Arial" w:cs="Arial" w:eastAsia="Arial" w:hAnsi="Arial"/>
                <w:sz w:val="18"/>
                <w:szCs w:val="18"/>
                <w:color w:val="auto"/>
              </w:rPr>
              <w:t>Persons Eligible for Appointment as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380" w:type="dxa"/>
            <w:vAlign w:val="bottom"/>
          </w:tcPr>
          <w:p>
            <w:pPr>
              <w:ind w:left="80"/>
              <w:spacing w:after="0"/>
              <w:rPr>
                <w:sz w:val="20"/>
                <w:szCs w:val="20"/>
                <w:color w:val="auto"/>
              </w:rPr>
            </w:pPr>
            <w:r>
              <w:rPr>
                <w:rFonts w:ascii="Arial" w:cs="Arial" w:eastAsia="Arial" w:hAnsi="Arial"/>
                <w:sz w:val="18"/>
                <w:szCs w:val="18"/>
                <w:color w:val="auto"/>
              </w:rPr>
              <w:t>Resignation and Removal; Appointment of Successor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380" w:type="dxa"/>
            <w:vAlign w:val="bottom"/>
          </w:tcPr>
          <w:p>
            <w:pPr>
              <w:ind w:left="80"/>
              <w:spacing w:after="0"/>
              <w:rPr>
                <w:sz w:val="20"/>
                <w:szCs w:val="20"/>
                <w:color w:val="auto"/>
              </w:rPr>
            </w:pPr>
            <w:r>
              <w:rPr>
                <w:rFonts w:ascii="Arial" w:cs="Arial" w:eastAsia="Arial" w:hAnsi="Arial"/>
                <w:sz w:val="18"/>
                <w:szCs w:val="18"/>
                <w:color w:val="auto"/>
              </w:rPr>
              <w:t>Acceptance of Appointment by Successor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380" w:type="dxa"/>
            <w:vAlign w:val="bottom"/>
          </w:tcPr>
          <w:p>
            <w:pPr>
              <w:ind w:left="8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380" w:type="dxa"/>
            <w:vAlign w:val="bottom"/>
          </w:tcPr>
          <w:p>
            <w:pPr>
              <w:ind w:left="80"/>
              <w:spacing w:after="0"/>
              <w:rPr>
                <w:sz w:val="20"/>
                <w:szCs w:val="20"/>
                <w:color w:val="auto"/>
              </w:rPr>
            </w:pPr>
            <w:r>
              <w:rPr>
                <w:rFonts w:ascii="Arial" w:cs="Arial" w:eastAsia="Arial" w:hAnsi="Arial"/>
                <w:sz w:val="18"/>
                <w:szCs w:val="18"/>
                <w:color w:val="auto"/>
              </w:rPr>
              <w:t>Preferential Collection of Claims Against the Issuer</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7</w:t>
            </w:r>
          </w:p>
        </w:tc>
        <w:tc>
          <w:tcPr>
            <w:tcW w:w="8380" w:type="dxa"/>
            <w:vAlign w:val="bottom"/>
          </w:tcPr>
          <w:p>
            <w:pPr>
              <w:ind w:left="80"/>
              <w:spacing w:after="0"/>
              <w:rPr>
                <w:sz w:val="20"/>
                <w:szCs w:val="20"/>
                <w:color w:val="auto"/>
              </w:rPr>
            </w:pPr>
            <w:r>
              <w:rPr>
                <w:rFonts w:ascii="Arial" w:cs="Arial" w:eastAsia="Arial" w:hAnsi="Arial"/>
                <w:sz w:val="18"/>
                <w:szCs w:val="18"/>
                <w:color w:val="auto"/>
              </w:rPr>
              <w:t>CONCERNING THE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380" w:type="dxa"/>
            <w:vAlign w:val="bottom"/>
          </w:tcPr>
          <w:p>
            <w:pPr>
              <w:ind w:left="80"/>
              <w:spacing w:after="0"/>
              <w:rPr>
                <w:sz w:val="20"/>
                <w:szCs w:val="20"/>
                <w:color w:val="auto"/>
              </w:rPr>
            </w:pPr>
            <w:r>
              <w:rPr>
                <w:rFonts w:ascii="Arial" w:cs="Arial" w:eastAsia="Arial" w:hAnsi="Arial"/>
                <w:sz w:val="18"/>
                <w:szCs w:val="18"/>
                <w:color w:val="auto"/>
              </w:rPr>
              <w:t>Evidence of Action Taken by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380" w:type="dxa"/>
            <w:vAlign w:val="bottom"/>
          </w:tcPr>
          <w:p>
            <w:pPr>
              <w:ind w:left="80"/>
              <w:spacing w:after="0"/>
              <w:rPr>
                <w:sz w:val="20"/>
                <w:szCs w:val="20"/>
                <w:color w:val="auto"/>
              </w:rPr>
            </w:pPr>
            <w:r>
              <w:rPr>
                <w:rFonts w:ascii="Arial" w:cs="Arial" w:eastAsia="Arial" w:hAnsi="Arial"/>
                <w:sz w:val="18"/>
                <w:szCs w:val="18"/>
                <w:color w:val="auto"/>
              </w:rPr>
              <w:t>Proof of Execution of Instruments and of Holding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380" w:type="dxa"/>
            <w:vAlign w:val="bottom"/>
          </w:tcPr>
          <w:p>
            <w:pPr>
              <w:ind w:left="80"/>
              <w:spacing w:after="0"/>
              <w:rPr>
                <w:sz w:val="20"/>
                <w:szCs w:val="20"/>
                <w:color w:val="auto"/>
              </w:rPr>
            </w:pPr>
            <w:r>
              <w:rPr>
                <w:rFonts w:ascii="Arial" w:cs="Arial" w:eastAsia="Arial" w:hAnsi="Arial"/>
                <w:sz w:val="18"/>
                <w:szCs w:val="18"/>
                <w:color w:val="auto"/>
              </w:rPr>
              <w:t>Holders to Be Treated as Owners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380" w:type="dxa"/>
            <w:vAlign w:val="bottom"/>
          </w:tcPr>
          <w:p>
            <w:pPr>
              <w:ind w:left="80"/>
              <w:spacing w:after="0"/>
              <w:rPr>
                <w:sz w:val="20"/>
                <w:szCs w:val="20"/>
                <w:color w:val="auto"/>
              </w:rPr>
            </w:pPr>
            <w:r>
              <w:rPr>
                <w:rFonts w:ascii="Arial" w:cs="Arial" w:eastAsia="Arial" w:hAnsi="Arial"/>
                <w:sz w:val="18"/>
                <w:szCs w:val="18"/>
                <w:color w:val="auto"/>
              </w:rPr>
              <w:t>Securities Owned by Issuer Deemed Not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380" w:type="dxa"/>
            <w:vAlign w:val="bottom"/>
          </w:tcPr>
          <w:p>
            <w:pPr>
              <w:ind w:left="80"/>
              <w:spacing w:after="0"/>
              <w:rPr>
                <w:sz w:val="20"/>
                <w:szCs w:val="20"/>
                <w:color w:val="auto"/>
              </w:rPr>
            </w:pPr>
            <w:r>
              <w:rPr>
                <w:rFonts w:ascii="Arial" w:cs="Arial" w:eastAsia="Arial" w:hAnsi="Arial"/>
                <w:sz w:val="18"/>
                <w:szCs w:val="18"/>
                <w:color w:val="auto"/>
              </w:rPr>
              <w:t>Right of Revocation of Action Taken</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8</w:t>
            </w:r>
          </w:p>
        </w:tc>
        <w:tc>
          <w:tcPr>
            <w:tcW w:w="8380" w:type="dxa"/>
            <w:vAlign w:val="bottom"/>
          </w:tcPr>
          <w:p>
            <w:pPr>
              <w:ind w:left="80"/>
              <w:spacing w:after="0"/>
              <w:rPr>
                <w:sz w:val="20"/>
                <w:szCs w:val="20"/>
                <w:color w:val="auto"/>
              </w:rPr>
            </w:pPr>
            <w:r>
              <w:rPr>
                <w:rFonts w:ascii="Arial" w:cs="Arial" w:eastAsia="Arial" w:hAnsi="Arial"/>
                <w:sz w:val="18"/>
                <w:szCs w:val="18"/>
                <w:color w:val="auto"/>
              </w:rPr>
              <w:t>SUPPLEMENTAL INDENTURES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380" w:type="dxa"/>
            <w:vAlign w:val="bottom"/>
          </w:tcPr>
          <w:p>
            <w:pPr>
              <w:ind w:left="80"/>
              <w:spacing w:after="0"/>
              <w:rPr>
                <w:sz w:val="20"/>
                <w:szCs w:val="20"/>
                <w:color w:val="auto"/>
              </w:rPr>
            </w:pPr>
            <w:r>
              <w:rPr>
                <w:rFonts w:ascii="Arial" w:cs="Arial" w:eastAsia="Arial" w:hAnsi="Arial"/>
                <w:sz w:val="18"/>
                <w:szCs w:val="18"/>
                <w:color w:val="auto"/>
              </w:rPr>
              <w:t>Supplemental Indentures Without Consent of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380" w:type="dxa"/>
            <w:vAlign w:val="bottom"/>
          </w:tcPr>
          <w:p>
            <w:pPr>
              <w:ind w:left="80"/>
              <w:spacing w:after="0"/>
              <w:rPr>
                <w:sz w:val="20"/>
                <w:szCs w:val="20"/>
                <w:color w:val="auto"/>
              </w:rPr>
            </w:pPr>
            <w:r>
              <w:rPr>
                <w:rFonts w:ascii="Arial" w:cs="Arial" w:eastAsia="Arial" w:hAnsi="Arial"/>
                <w:sz w:val="18"/>
                <w:szCs w:val="18"/>
                <w:color w:val="auto"/>
              </w:rPr>
              <w:t>Supplemental Indentures With Consent of Securityholders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380" w:type="dxa"/>
            <w:vAlign w:val="bottom"/>
          </w:tcPr>
          <w:p>
            <w:pPr>
              <w:ind w:left="80"/>
              <w:spacing w:after="0"/>
              <w:rPr>
                <w:sz w:val="20"/>
                <w:szCs w:val="20"/>
                <w:color w:val="auto"/>
              </w:rPr>
            </w:pPr>
            <w:r>
              <w:rPr>
                <w:rFonts w:ascii="Arial" w:cs="Arial" w:eastAsia="Arial" w:hAnsi="Arial"/>
                <w:sz w:val="18"/>
                <w:szCs w:val="18"/>
                <w:color w:val="auto"/>
              </w:rPr>
              <w:t>Effect of Supplemental Indenture</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380" w:type="dxa"/>
            <w:vAlign w:val="bottom"/>
          </w:tcPr>
          <w:p>
            <w:pPr>
              <w:ind w:left="80"/>
              <w:spacing w:after="0"/>
              <w:rPr>
                <w:sz w:val="20"/>
                <w:szCs w:val="20"/>
                <w:color w:val="auto"/>
              </w:rPr>
            </w:pPr>
            <w:r>
              <w:rPr>
                <w:rFonts w:ascii="Arial" w:cs="Arial" w:eastAsia="Arial" w:hAnsi="Arial"/>
                <w:sz w:val="18"/>
                <w:szCs w:val="18"/>
                <w:color w:val="auto"/>
              </w:rPr>
              <w:t>Documents to Be Given to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8380" w:type="dxa"/>
            <w:vAlign w:val="bottom"/>
          </w:tcPr>
          <w:p>
            <w:pPr>
              <w:ind w:left="80"/>
              <w:spacing w:after="0"/>
              <w:rPr>
                <w:sz w:val="20"/>
                <w:szCs w:val="20"/>
                <w:color w:val="auto"/>
              </w:rPr>
            </w:pPr>
            <w:r>
              <w:rPr>
                <w:rFonts w:ascii="Arial" w:cs="Arial" w:eastAsia="Arial" w:hAnsi="Arial"/>
                <w:sz w:val="18"/>
                <w:szCs w:val="18"/>
                <w:color w:val="auto"/>
              </w:rPr>
              <w:t>Notation on Securities in Respect of Supplemental Indentures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9</w:t>
            </w:r>
          </w:p>
        </w:tc>
        <w:tc>
          <w:tcPr>
            <w:tcW w:w="8380" w:type="dxa"/>
            <w:vAlign w:val="bottom"/>
          </w:tcPr>
          <w:p>
            <w:pPr>
              <w:ind w:left="80"/>
              <w:spacing w:after="0"/>
              <w:rPr>
                <w:sz w:val="20"/>
                <w:szCs w:val="20"/>
                <w:color w:val="auto"/>
              </w:rPr>
            </w:pPr>
            <w:r>
              <w:rPr>
                <w:rFonts w:ascii="Arial" w:cs="Arial" w:eastAsia="Arial" w:hAnsi="Arial"/>
                <w:sz w:val="18"/>
                <w:szCs w:val="18"/>
                <w:color w:val="auto"/>
              </w:rPr>
              <w:t>CONSOLIDATION, MERGER, SALE OR CONVEYANCE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380" w:type="dxa"/>
            <w:vAlign w:val="bottom"/>
          </w:tcPr>
          <w:p>
            <w:pPr>
              <w:ind w:left="80"/>
              <w:spacing w:after="0"/>
              <w:rPr>
                <w:sz w:val="20"/>
                <w:szCs w:val="20"/>
                <w:color w:val="auto"/>
              </w:rPr>
            </w:pPr>
            <w:r>
              <w:rPr>
                <w:rFonts w:ascii="Arial" w:cs="Arial" w:eastAsia="Arial" w:hAnsi="Arial"/>
                <w:sz w:val="18"/>
                <w:szCs w:val="18"/>
                <w:color w:val="auto"/>
              </w:rPr>
              <w:t>Issuer May Consolidate, Etc., on Certain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380" w:type="dxa"/>
            <w:vAlign w:val="bottom"/>
          </w:tcPr>
          <w:p>
            <w:pPr>
              <w:ind w:left="80"/>
              <w:spacing w:after="0"/>
              <w:rPr>
                <w:sz w:val="20"/>
                <w:szCs w:val="20"/>
                <w:color w:val="auto"/>
              </w:rPr>
            </w:pPr>
            <w:r>
              <w:rPr>
                <w:rFonts w:ascii="Arial" w:cs="Arial" w:eastAsia="Arial" w:hAnsi="Arial"/>
                <w:sz w:val="18"/>
                <w:szCs w:val="18"/>
                <w:color w:val="auto"/>
              </w:rPr>
              <w:t>Successor Issuer Substituted</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10</w:t>
            </w:r>
          </w:p>
        </w:tc>
        <w:tc>
          <w:tcPr>
            <w:tcW w:w="8380" w:type="dxa"/>
            <w:vAlign w:val="bottom"/>
          </w:tcPr>
          <w:p>
            <w:pPr>
              <w:ind w:left="80"/>
              <w:spacing w:after="0"/>
              <w:rPr>
                <w:sz w:val="20"/>
                <w:szCs w:val="20"/>
                <w:color w:val="auto"/>
              </w:rPr>
            </w:pPr>
            <w:r>
              <w:rPr>
                <w:rFonts w:ascii="Arial" w:cs="Arial" w:eastAsia="Arial" w:hAnsi="Arial"/>
                <w:sz w:val="18"/>
                <w:szCs w:val="18"/>
                <w:color w:val="auto"/>
              </w:rPr>
              <w:t>SATISFACTION AND DISCHARGE OF INDENTURE; DEFEASANCE; UNCLAIMED MONEYS</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10.01</w:t>
            </w:r>
          </w:p>
        </w:tc>
        <w:tc>
          <w:tcPr>
            <w:tcW w:w="8380" w:type="dxa"/>
            <w:vAlign w:val="bottom"/>
          </w:tcPr>
          <w:p>
            <w:pPr>
              <w:ind w:left="80"/>
              <w:spacing w:after="0"/>
              <w:rPr>
                <w:sz w:val="20"/>
                <w:szCs w:val="20"/>
                <w:color w:val="auto"/>
              </w:rPr>
            </w:pPr>
            <w:r>
              <w:rPr>
                <w:rFonts w:ascii="Arial" w:cs="Arial" w:eastAsia="Arial" w:hAnsi="Arial"/>
                <w:sz w:val="18"/>
                <w:szCs w:val="18"/>
                <w:color w:val="auto"/>
              </w:rPr>
              <w:t>Satisfaction and Discharge of Indenture;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10.02</w:t>
            </w:r>
          </w:p>
        </w:tc>
        <w:tc>
          <w:tcPr>
            <w:tcW w:w="8380" w:type="dxa"/>
            <w:vAlign w:val="bottom"/>
          </w:tcPr>
          <w:p>
            <w:pPr>
              <w:ind w:left="8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10.03</w:t>
            </w:r>
          </w:p>
        </w:tc>
        <w:tc>
          <w:tcPr>
            <w:tcW w:w="8380" w:type="dxa"/>
            <w:vAlign w:val="bottom"/>
          </w:tcPr>
          <w:p>
            <w:pPr>
              <w:ind w:left="80"/>
              <w:spacing w:after="0"/>
              <w:rPr>
                <w:sz w:val="20"/>
                <w:szCs w:val="20"/>
                <w:color w:val="auto"/>
              </w:rPr>
            </w:pPr>
            <w:r>
              <w:rPr>
                <w:rFonts w:ascii="Arial" w:cs="Arial" w:eastAsia="Arial" w:hAnsi="Arial"/>
                <w:sz w:val="18"/>
                <w:szCs w:val="18"/>
                <w:color w:val="auto"/>
              </w:rPr>
              <w:t>Repayment of Moneys Held by Paying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10.04</w:t>
            </w:r>
          </w:p>
        </w:tc>
        <w:tc>
          <w:tcPr>
            <w:tcW w:w="8380" w:type="dxa"/>
            <w:vAlign w:val="bottom"/>
          </w:tcPr>
          <w:p>
            <w:pPr>
              <w:ind w:left="8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10.05</w:t>
            </w:r>
          </w:p>
        </w:tc>
        <w:tc>
          <w:tcPr>
            <w:tcW w:w="8380" w:type="dxa"/>
            <w:vAlign w:val="bottom"/>
          </w:tcPr>
          <w:p>
            <w:pPr>
              <w:ind w:left="8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11</w:t>
            </w:r>
          </w:p>
        </w:tc>
        <w:tc>
          <w:tcPr>
            <w:tcW w:w="8380" w:type="dxa"/>
            <w:vAlign w:val="bottom"/>
          </w:tcPr>
          <w:p>
            <w:pPr>
              <w:ind w:left="80"/>
              <w:spacing w:after="0"/>
              <w:rPr>
                <w:sz w:val="20"/>
                <w:szCs w:val="20"/>
                <w:color w:val="auto"/>
              </w:rPr>
            </w:pPr>
            <w:r>
              <w:rPr>
                <w:rFonts w:ascii="Arial" w:cs="Arial" w:eastAsia="Arial" w:hAnsi="Arial"/>
                <w:sz w:val="18"/>
                <w:szCs w:val="18"/>
                <w:color w:val="auto"/>
              </w:rPr>
              <w:t>MISCELLANEOUS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11.01</w:t>
            </w:r>
          </w:p>
        </w:tc>
        <w:tc>
          <w:tcPr>
            <w:tcW w:w="8380" w:type="dxa"/>
            <w:vAlign w:val="bottom"/>
          </w:tcPr>
          <w:p>
            <w:pPr>
              <w:ind w:left="80"/>
              <w:spacing w:after="0"/>
              <w:rPr>
                <w:sz w:val="20"/>
                <w:szCs w:val="20"/>
                <w:color w:val="auto"/>
              </w:rPr>
            </w:pPr>
            <w:r>
              <w:rPr>
                <w:rFonts w:ascii="Arial" w:cs="Arial" w:eastAsia="Arial" w:hAnsi="Arial"/>
                <w:sz w:val="18"/>
                <w:szCs w:val="18"/>
                <w:color w:val="auto"/>
              </w:rPr>
              <w:t>No Recourse</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11.02</w:t>
            </w:r>
          </w:p>
        </w:tc>
        <w:tc>
          <w:tcPr>
            <w:tcW w:w="8380" w:type="dxa"/>
            <w:vAlign w:val="bottom"/>
          </w:tcPr>
          <w:p>
            <w:pPr>
              <w:ind w:left="8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11.03</w:t>
            </w:r>
          </w:p>
        </w:tc>
        <w:tc>
          <w:tcPr>
            <w:tcW w:w="8380" w:type="dxa"/>
            <w:vAlign w:val="bottom"/>
          </w:tcPr>
          <w:p>
            <w:pPr>
              <w:ind w:left="80"/>
              <w:spacing w:after="0"/>
              <w:rPr>
                <w:sz w:val="20"/>
                <w:szCs w:val="20"/>
                <w:color w:val="auto"/>
              </w:rPr>
            </w:pPr>
            <w:r>
              <w:rPr>
                <w:rFonts w:ascii="Arial" w:cs="Arial" w:eastAsia="Arial" w:hAnsi="Arial"/>
                <w:sz w:val="18"/>
                <w:szCs w:val="18"/>
                <w:color w:val="auto"/>
              </w:rPr>
              <w:t>Successors and Assigns of Issuer Bound by Indenture</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11.04</w:t>
            </w:r>
          </w:p>
        </w:tc>
        <w:tc>
          <w:tcPr>
            <w:tcW w:w="8380" w:type="dxa"/>
            <w:vAlign w:val="bottom"/>
          </w:tcPr>
          <w:p>
            <w:pPr>
              <w:ind w:left="80"/>
              <w:spacing w:after="0"/>
              <w:rPr>
                <w:sz w:val="20"/>
                <w:szCs w:val="20"/>
                <w:color w:val="auto"/>
              </w:rPr>
            </w:pPr>
            <w:r>
              <w:rPr>
                <w:rFonts w:ascii="Arial" w:cs="Arial" w:eastAsia="Arial" w:hAnsi="Arial"/>
                <w:sz w:val="18"/>
                <w:szCs w:val="18"/>
                <w:color w:val="auto"/>
              </w:rPr>
              <w:t>Notices and Demands on Issuer, Trustee and Holders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bl>
    <w:p>
      <w:pPr>
        <w:jc w:val="right"/>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9" w:name="page160"/>
    <w:bookmarkEnd w:id="159"/>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11.05</w:t>
            </w:r>
          </w:p>
        </w:tc>
        <w:tc>
          <w:tcPr>
            <w:tcW w:w="7740" w:type="dxa"/>
            <w:vAlign w:val="bottom"/>
          </w:tcPr>
          <w:p>
            <w:pPr>
              <w:ind w:left="8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11.06</w:t>
            </w:r>
          </w:p>
        </w:tc>
        <w:tc>
          <w:tcPr>
            <w:tcW w:w="7740" w:type="dxa"/>
            <w:vAlign w:val="bottom"/>
          </w:tcPr>
          <w:p>
            <w:pPr>
              <w:ind w:left="80"/>
              <w:spacing w:after="0"/>
              <w:rPr>
                <w:sz w:val="20"/>
                <w:szCs w:val="20"/>
                <w:color w:val="auto"/>
              </w:rPr>
            </w:pPr>
            <w:r>
              <w:rPr>
                <w:rFonts w:ascii="Arial" w:cs="Arial" w:eastAsia="Arial" w:hAnsi="Arial"/>
                <w:sz w:val="18"/>
                <w:szCs w:val="18"/>
                <w:color w:val="auto"/>
              </w:rPr>
              <w:t>Payments Due on Saturdays, Sundays and Holidays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11.07</w:t>
            </w:r>
          </w:p>
        </w:tc>
        <w:tc>
          <w:tcPr>
            <w:tcW w:w="7740" w:type="dxa"/>
            <w:vAlign w:val="bottom"/>
          </w:tcPr>
          <w:p>
            <w:pPr>
              <w:ind w:left="8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11.08</w:t>
            </w:r>
          </w:p>
        </w:tc>
        <w:tc>
          <w:tcPr>
            <w:tcW w:w="7740" w:type="dxa"/>
            <w:vAlign w:val="bottom"/>
          </w:tcPr>
          <w:p>
            <w:pPr>
              <w:ind w:left="80"/>
              <w:spacing w:after="0"/>
              <w:rPr>
                <w:sz w:val="20"/>
                <w:szCs w:val="20"/>
                <w:color w:val="auto"/>
              </w:rPr>
            </w:pPr>
            <w:r>
              <w:rPr>
                <w:rFonts w:ascii="Arial" w:cs="Arial" w:eastAsia="Arial" w:hAnsi="Arial"/>
                <w:sz w:val="18"/>
                <w:szCs w:val="18"/>
                <w:color w:val="auto"/>
              </w:rPr>
              <w:t>New York Law to Govern</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11.09</w:t>
            </w:r>
          </w:p>
        </w:tc>
        <w:tc>
          <w:tcPr>
            <w:tcW w:w="77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11.10</w:t>
            </w:r>
          </w:p>
        </w:tc>
        <w:tc>
          <w:tcPr>
            <w:tcW w:w="7740" w:type="dxa"/>
            <w:vAlign w:val="bottom"/>
          </w:tcPr>
          <w:p>
            <w:pPr>
              <w:ind w:left="80"/>
              <w:spacing w:after="0"/>
              <w:rPr>
                <w:sz w:val="20"/>
                <w:szCs w:val="20"/>
                <w:color w:val="auto"/>
              </w:rPr>
            </w:pPr>
            <w:r>
              <w:rPr>
                <w:rFonts w:ascii="Arial" w:cs="Arial" w:eastAsia="Arial" w:hAnsi="Arial"/>
                <w:sz w:val="18"/>
                <w:szCs w:val="18"/>
                <w:color w:val="auto"/>
              </w:rPr>
              <w:t>Effect of Headings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11.11</w:t>
            </w:r>
          </w:p>
        </w:tc>
        <w:tc>
          <w:tcPr>
            <w:tcW w:w="7740" w:type="dxa"/>
            <w:vAlign w:val="bottom"/>
          </w:tcPr>
          <w:p>
            <w:pPr>
              <w:ind w:left="80"/>
              <w:spacing w:after="0"/>
              <w:rPr>
                <w:sz w:val="20"/>
                <w:szCs w:val="20"/>
                <w:color w:val="auto"/>
              </w:rPr>
            </w:pPr>
            <w:r>
              <w:rPr>
                <w:rFonts w:ascii="Arial" w:cs="Arial" w:eastAsia="Arial" w:hAnsi="Arial"/>
                <w:sz w:val="18"/>
                <w:szCs w:val="18"/>
                <w:color w:val="auto"/>
              </w:rPr>
              <w:t>Actions by Successor</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11.12</w:t>
            </w:r>
          </w:p>
        </w:tc>
        <w:tc>
          <w:tcPr>
            <w:tcW w:w="77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12</w:t>
            </w:r>
          </w:p>
        </w:tc>
        <w:tc>
          <w:tcPr>
            <w:tcW w:w="7740" w:type="dxa"/>
            <w:vAlign w:val="bottom"/>
          </w:tcPr>
          <w:p>
            <w:pPr>
              <w:ind w:left="80"/>
              <w:spacing w:after="0"/>
              <w:rPr>
                <w:sz w:val="20"/>
                <w:szCs w:val="20"/>
                <w:color w:val="auto"/>
              </w:rPr>
            </w:pPr>
            <w:r>
              <w:rPr>
                <w:rFonts w:ascii="Arial" w:cs="Arial" w:eastAsia="Arial" w:hAnsi="Arial"/>
                <w:sz w:val="18"/>
                <w:szCs w:val="18"/>
                <w:color w:val="auto"/>
              </w:rPr>
              <w:t>REDEMPTION OF SECURITIES AND SINKING FUNDS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12.01</w:t>
            </w:r>
          </w:p>
        </w:tc>
        <w:tc>
          <w:tcPr>
            <w:tcW w:w="774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12.02</w:t>
            </w:r>
          </w:p>
        </w:tc>
        <w:tc>
          <w:tcPr>
            <w:tcW w:w="7740" w:type="dxa"/>
            <w:vAlign w:val="bottom"/>
          </w:tcPr>
          <w:p>
            <w:pPr>
              <w:ind w:left="80"/>
              <w:spacing w:after="0"/>
              <w:rPr>
                <w:sz w:val="20"/>
                <w:szCs w:val="20"/>
                <w:color w:val="auto"/>
              </w:rPr>
            </w:pPr>
            <w:r>
              <w:rPr>
                <w:rFonts w:ascii="Arial" w:cs="Arial" w:eastAsia="Arial" w:hAnsi="Arial"/>
                <w:sz w:val="18"/>
                <w:szCs w:val="18"/>
                <w:color w:val="auto"/>
              </w:rPr>
              <w:t>Notice of Redemption; Partial Redemptions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12.03</w:t>
            </w:r>
          </w:p>
        </w:tc>
        <w:tc>
          <w:tcPr>
            <w:tcW w:w="7740" w:type="dxa"/>
            <w:vAlign w:val="bottom"/>
          </w:tcPr>
          <w:p>
            <w:pPr>
              <w:ind w:left="80"/>
              <w:spacing w:after="0"/>
              <w:rPr>
                <w:sz w:val="20"/>
                <w:szCs w:val="20"/>
                <w:color w:val="auto"/>
              </w:rPr>
            </w:pPr>
            <w:r>
              <w:rPr>
                <w:rFonts w:ascii="Arial" w:cs="Arial" w:eastAsia="Arial" w:hAnsi="Arial"/>
                <w:sz w:val="18"/>
                <w:szCs w:val="18"/>
                <w:color w:val="auto"/>
              </w:rPr>
              <w:t>Payment of Securities Called for Redemption</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12.04</w:t>
            </w:r>
          </w:p>
        </w:tc>
        <w:tc>
          <w:tcPr>
            <w:tcW w:w="7740" w:type="dxa"/>
            <w:vAlign w:val="bottom"/>
          </w:tcPr>
          <w:p>
            <w:pPr>
              <w:ind w:left="8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12.05</w:t>
            </w:r>
          </w:p>
        </w:tc>
        <w:tc>
          <w:tcPr>
            <w:tcW w:w="7740" w:type="dxa"/>
            <w:vAlign w:val="bottom"/>
          </w:tcPr>
          <w:p>
            <w:pPr>
              <w:ind w:left="80"/>
              <w:spacing w:after="0"/>
              <w:rPr>
                <w:sz w:val="20"/>
                <w:szCs w:val="20"/>
                <w:color w:val="auto"/>
              </w:rPr>
            </w:pPr>
            <w:r>
              <w:rPr>
                <w:rFonts w:ascii="Arial" w:cs="Arial" w:eastAsia="Arial" w:hAnsi="Arial"/>
                <w:sz w:val="18"/>
                <w:szCs w:val="18"/>
                <w:color w:val="auto"/>
              </w:rPr>
              <w:t>Mandatory and Optional Sinking Funds</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13</w:t>
            </w:r>
          </w:p>
        </w:tc>
        <w:tc>
          <w:tcPr>
            <w:tcW w:w="7740" w:type="dxa"/>
            <w:vAlign w:val="bottom"/>
          </w:tcPr>
          <w:p>
            <w:pPr>
              <w:ind w:left="80"/>
              <w:spacing w:after="0"/>
              <w:rPr>
                <w:sz w:val="20"/>
                <w:szCs w:val="20"/>
                <w:color w:val="auto"/>
              </w:rPr>
            </w:pPr>
            <w:r>
              <w:rPr>
                <w:rFonts w:ascii="Arial" w:cs="Arial" w:eastAsia="Arial" w:hAnsi="Arial"/>
                <w:sz w:val="18"/>
                <w:szCs w:val="18"/>
                <w:color w:val="auto"/>
              </w:rPr>
              <w:t>SUBORDINATION OF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13.01</w:t>
            </w:r>
          </w:p>
        </w:tc>
        <w:tc>
          <w:tcPr>
            <w:tcW w:w="7740" w:type="dxa"/>
            <w:vAlign w:val="bottom"/>
          </w:tcPr>
          <w:p>
            <w:pPr>
              <w:ind w:left="80"/>
              <w:spacing w:after="0"/>
              <w:rPr>
                <w:sz w:val="20"/>
                <w:szCs w:val="20"/>
                <w:color w:val="auto"/>
              </w:rPr>
            </w:pPr>
            <w:r>
              <w:rPr>
                <w:rFonts w:ascii="Arial" w:cs="Arial" w:eastAsia="Arial" w:hAnsi="Arial"/>
                <w:sz w:val="18"/>
                <w:szCs w:val="18"/>
                <w:color w:val="auto"/>
              </w:rPr>
              <w:t>Agreement of Subordination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13.02</w:t>
            </w:r>
          </w:p>
        </w:tc>
        <w:tc>
          <w:tcPr>
            <w:tcW w:w="7740" w:type="dxa"/>
            <w:vAlign w:val="bottom"/>
          </w:tcPr>
          <w:p>
            <w:pPr>
              <w:ind w:left="80"/>
              <w:spacing w:after="0"/>
              <w:rPr>
                <w:sz w:val="20"/>
                <w:szCs w:val="20"/>
                <w:color w:val="auto"/>
              </w:rPr>
            </w:pPr>
            <w:r>
              <w:rPr>
                <w:rFonts w:ascii="Arial" w:cs="Arial" w:eastAsia="Arial" w:hAnsi="Arial"/>
                <w:sz w:val="18"/>
                <w:szCs w:val="18"/>
                <w:color w:val="auto"/>
              </w:rPr>
              <w:t>Payments to Securityholders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13.03</w:t>
            </w:r>
          </w:p>
        </w:tc>
        <w:tc>
          <w:tcPr>
            <w:tcW w:w="7740" w:type="dxa"/>
            <w:vAlign w:val="bottom"/>
          </w:tcPr>
          <w:p>
            <w:pPr>
              <w:ind w:left="80"/>
              <w:spacing w:after="0"/>
              <w:rPr>
                <w:sz w:val="20"/>
                <w:szCs w:val="20"/>
                <w:color w:val="auto"/>
              </w:rPr>
            </w:pPr>
            <w:r>
              <w:rPr>
                <w:rFonts w:ascii="Arial" w:cs="Arial" w:eastAsia="Arial" w:hAnsi="Arial"/>
                <w:sz w:val="18"/>
                <w:szCs w:val="18"/>
                <w:color w:val="auto"/>
              </w:rPr>
              <w:t>Subrogation of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13.04</w:t>
            </w:r>
          </w:p>
        </w:tc>
        <w:tc>
          <w:tcPr>
            <w:tcW w:w="7740" w:type="dxa"/>
            <w:vAlign w:val="bottom"/>
          </w:tcPr>
          <w:p>
            <w:pPr>
              <w:ind w:left="80"/>
              <w:spacing w:after="0"/>
              <w:rPr>
                <w:sz w:val="20"/>
                <w:szCs w:val="20"/>
                <w:color w:val="auto"/>
              </w:rPr>
            </w:pPr>
            <w:r>
              <w:rPr>
                <w:rFonts w:ascii="Arial" w:cs="Arial" w:eastAsia="Arial" w:hAnsi="Arial"/>
                <w:sz w:val="18"/>
                <w:szCs w:val="18"/>
                <w:color w:val="auto"/>
              </w:rPr>
              <w:t>Authorization by Securityholders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13.05</w:t>
            </w:r>
          </w:p>
        </w:tc>
        <w:tc>
          <w:tcPr>
            <w:tcW w:w="7740" w:type="dxa"/>
            <w:vAlign w:val="bottom"/>
          </w:tcPr>
          <w:p>
            <w:pPr>
              <w:ind w:left="80"/>
              <w:spacing w:after="0"/>
              <w:rPr>
                <w:sz w:val="20"/>
                <w:szCs w:val="20"/>
                <w:color w:val="auto"/>
              </w:rPr>
            </w:pPr>
            <w:r>
              <w:rPr>
                <w:rFonts w:ascii="Arial" w:cs="Arial" w:eastAsia="Arial" w:hAnsi="Arial"/>
                <w:sz w:val="18"/>
                <w:szCs w:val="18"/>
                <w:color w:val="auto"/>
              </w:rPr>
              <w:t>Notice to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13.06</w:t>
            </w:r>
          </w:p>
        </w:tc>
        <w:tc>
          <w:tcPr>
            <w:tcW w:w="7740" w:type="dxa"/>
            <w:vAlign w:val="bottom"/>
          </w:tcPr>
          <w:p>
            <w:pPr>
              <w:ind w:left="80"/>
              <w:spacing w:after="0"/>
              <w:rPr>
                <w:sz w:val="20"/>
                <w:szCs w:val="20"/>
                <w:color w:val="auto"/>
              </w:rPr>
            </w:pPr>
            <w:r>
              <w:rPr>
                <w:rFonts w:ascii="Arial" w:cs="Arial" w:eastAsia="Arial" w:hAnsi="Arial"/>
                <w:sz w:val="18"/>
                <w:szCs w:val="18"/>
                <w:color w:val="auto"/>
              </w:rPr>
              <w:t>Trustee’s Relation to Senior Indebtedness</w:t>
            </w: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13.07</w:t>
            </w:r>
          </w:p>
        </w:tc>
        <w:tc>
          <w:tcPr>
            <w:tcW w:w="7740" w:type="dxa"/>
            <w:vAlign w:val="bottom"/>
          </w:tcPr>
          <w:p>
            <w:pPr>
              <w:ind w:left="80"/>
              <w:spacing w:after="0"/>
              <w:rPr>
                <w:sz w:val="20"/>
                <w:szCs w:val="20"/>
                <w:color w:val="auto"/>
              </w:rPr>
            </w:pPr>
            <w:r>
              <w:rPr>
                <w:rFonts w:ascii="Arial" w:cs="Arial" w:eastAsia="Arial" w:hAnsi="Arial"/>
                <w:sz w:val="18"/>
                <w:szCs w:val="18"/>
                <w:color w:val="auto"/>
              </w:rPr>
              <w:t>No Impairment of Subordination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13.08</w:t>
            </w:r>
          </w:p>
        </w:tc>
        <w:tc>
          <w:tcPr>
            <w:tcW w:w="7740" w:type="dxa"/>
            <w:vAlign w:val="bottom"/>
          </w:tcPr>
          <w:p>
            <w:pPr>
              <w:ind w:left="80"/>
              <w:spacing w:after="0"/>
              <w:rPr>
                <w:sz w:val="20"/>
                <w:szCs w:val="20"/>
                <w:color w:val="auto"/>
              </w:rPr>
            </w:pPr>
            <w:r>
              <w:rPr>
                <w:rFonts w:ascii="Arial" w:cs="Arial" w:eastAsia="Arial" w:hAnsi="Arial"/>
                <w:sz w:val="18"/>
                <w:szCs w:val="18"/>
                <w:color w:val="auto"/>
              </w:rPr>
              <w:t>Rights of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0" w:name="page161"/>
    <w:bookmarkEnd w:id="16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INDENTURE, dated as of _________ between Werewolf Therapeutics, Inc.,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and ________,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“Additional Amounts” </w:t>
      </w:r>
      <w:r>
        <w:rPr>
          <w:rFonts w:ascii="Arial" w:cs="Arial" w:eastAsia="Arial" w:hAnsi="Arial"/>
          <w:sz w:val="18"/>
          <w:szCs w:val="18"/>
          <w:color w:val="auto"/>
        </w:rPr>
        <w:t>means any additional amounts that are required by this Indenture or by any Security, under circumstances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therein, to be paid by the Issuer in respect of certain taxes, assessments or other governmental charges imposed on Holders specified therein and which are owing to such Holders.</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61" w:name="page162"/>
    <w:bookmarkEnd w:id="161"/>
    <w:p>
      <w:pPr>
        <w:ind w:right="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color w:val="auto"/>
        </w:rPr>
        <w:t>means (a) in the case of a corporation, corporate stock; (b) in the case of an association or business entity, any and all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“Foreign Government Obligation” </w:t>
      </w:r>
      <w:r>
        <w:rPr>
          <w:rFonts w:ascii="Arial" w:cs="Arial" w:eastAsia="Arial" w:hAnsi="Arial"/>
          <w:sz w:val="18"/>
          <w:szCs w:val="18"/>
          <w:color w:val="auto"/>
        </w:rPr>
        <w:t>means (a) a direct obligation of the government of a country other than the United States of America, backed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0"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Werewolf Therapeutics, Inc., a Delaware corporation, and, subject to Article 9, its successors and assigns.</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58" w:lineRule="exact"/>
        <w:rPr>
          <w:sz w:val="20"/>
          <w:szCs w:val="20"/>
          <w:color w:val="auto"/>
        </w:rPr>
      </w:pPr>
    </w:p>
    <w:p>
      <w:pPr>
        <w:ind w:left="5460" w:right="3280" w:hanging="4473"/>
        <w:spacing w:after="0" w:line="449" w:lineRule="auto"/>
        <w:tabs>
          <w:tab w:leader="none" w:pos="123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 3</w:t>
      </w:r>
    </w:p>
    <w:p>
      <w:pPr>
        <w:sectPr>
          <w:pgSz w:w="11900" w:h="16838" w:orient="portrait"/>
          <w:cols w:equalWidth="0" w:num="1">
            <w:col w:w="11000"/>
          </w:cols>
          <w:pgMar w:left="440" w:top="274" w:right="459" w:bottom="1440" w:gutter="0" w:footer="0" w:header="0"/>
        </w:sectPr>
      </w:pPr>
    </w:p>
    <w:bookmarkStart w:id="163" w:name="page164"/>
    <w:bookmarkEnd w:id="163"/>
    <w:p>
      <w:pPr>
        <w:jc w:val="both"/>
        <w:ind w:firstLine="987"/>
        <w:spacing w:after="0" w:line="296" w:lineRule="auto"/>
        <w:tabs>
          <w:tab w:leader="none" w:pos="12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Securities as to which Legal Defeasance shall have been effected pursuant to Section 10.01(b);</w:t>
      </w:r>
    </w:p>
    <w:p>
      <w:pPr>
        <w:spacing w:after="0" w:line="117" w:lineRule="exact"/>
        <w:rPr>
          <w:rFonts w:ascii="Arial" w:cs="Arial" w:eastAsia="Arial" w:hAnsi="Arial"/>
          <w:sz w:val="18"/>
          <w:szCs w:val="18"/>
          <w:color w:val="auto"/>
        </w:rPr>
      </w:pPr>
    </w:p>
    <w:p>
      <w:pPr>
        <w:jc w:val="both"/>
        <w:ind w:right="380" w:firstLine="987"/>
        <w:spacing w:after="0" w:line="279" w:lineRule="auto"/>
        <w:tabs>
          <w:tab w:leader="none" w:pos="124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63" w:lineRule="exact"/>
        <w:rPr>
          <w:rFonts w:ascii="Arial" w:cs="Arial" w:eastAsia="Arial" w:hAnsi="Arial"/>
          <w:sz w:val="17"/>
          <w:szCs w:val="17"/>
          <w:color w:val="auto"/>
        </w:rPr>
      </w:pPr>
    </w:p>
    <w:p>
      <w:pPr>
        <w:ind w:firstLine="987"/>
        <w:spacing w:after="0" w:line="342"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73" w:lineRule="exact"/>
        <w:rPr>
          <w:sz w:val="20"/>
          <w:szCs w:val="20"/>
          <w:color w:val="auto"/>
        </w:rPr>
      </w:pPr>
    </w:p>
    <w:p>
      <w:pPr>
        <w:ind w:right="8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64" w:name="page165"/>
    <w:bookmarkEnd w:id="164"/>
    <w:p>
      <w:pPr>
        <w:ind w:right="6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a Person means the principal of, premium, if any, interest on, and any other payment due pursuant to any of the following, whether outstanding at the date hereof or hereafter incurred or created:</w:t>
      </w:r>
    </w:p>
    <w:p>
      <w:pPr>
        <w:spacing w:after="0" w:line="58" w:lineRule="exact"/>
        <w:rPr>
          <w:sz w:val="20"/>
          <w:szCs w:val="20"/>
          <w:color w:val="auto"/>
        </w:rPr>
      </w:pPr>
    </w:p>
    <w:p>
      <w:pPr>
        <w:ind w:left="1240" w:hanging="253"/>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103" w:lineRule="exact"/>
        <w:rPr>
          <w:sz w:val="20"/>
          <w:szCs w:val="20"/>
          <w:color w:val="auto"/>
        </w:rPr>
      </w:pPr>
    </w:p>
    <w:p>
      <w:pPr>
        <w:ind w:right="60" w:firstLine="987"/>
        <w:spacing w:after="0" w:line="263"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75" w:lineRule="exact"/>
        <w:rPr>
          <w:rFonts w:ascii="Arial" w:cs="Arial" w:eastAsia="Arial" w:hAnsi="Arial"/>
          <w:sz w:val="18"/>
          <w:szCs w:val="18"/>
          <w:color w:val="auto"/>
        </w:rPr>
      </w:pPr>
    </w:p>
    <w:p>
      <w:pPr>
        <w:ind w:right="340" w:firstLine="987"/>
        <w:spacing w:after="0" w:line="277" w:lineRule="auto"/>
        <w:tabs>
          <w:tab w:leader="none" w:pos="12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70"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or guarantee relating to it expressly provides that such indebtedness, lease, renewal, extension or refunding is not superior in right of payment to the Securities.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7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65" w:name="page166"/>
    <w:bookmarkEnd w:id="165"/>
    <w:p>
      <w:pPr>
        <w:ind w:right="1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177800</wp:posOffset>
            </wp:positionV>
            <wp:extent cx="27946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63" w:lineRule="exact"/>
        <w:rPr>
          <w:sz w:val="20"/>
          <w:szCs w:val="20"/>
          <w:color w:val="auto"/>
        </w:rPr>
      </w:pPr>
    </w:p>
    <w:p>
      <w:pPr>
        <w:ind w:left="1240" w:hanging="253"/>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117" w:lineRule="exact"/>
        <w:rPr>
          <w:rFonts w:ascii="Arial" w:cs="Arial" w:eastAsia="Arial" w:hAnsi="Arial"/>
          <w:sz w:val="18"/>
          <w:szCs w:val="18"/>
          <w:color w:val="auto"/>
        </w:rPr>
      </w:pPr>
    </w:p>
    <w:p>
      <w:pPr>
        <w:ind w:firstLine="987"/>
        <w:spacing w:after="0" w:line="263" w:lineRule="auto"/>
        <w:tabs>
          <w:tab w:leader="none" w:pos="12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75" w:lineRule="exact"/>
        <w:rPr>
          <w:rFonts w:ascii="Arial" w:cs="Arial" w:eastAsia="Arial" w:hAnsi="Arial"/>
          <w:sz w:val="18"/>
          <w:szCs w:val="18"/>
          <w:color w:val="auto"/>
        </w:rPr>
      </w:pPr>
    </w:p>
    <w:p>
      <w:pPr>
        <w:ind w:right="260" w:firstLine="987"/>
        <w:spacing w:after="0" w:line="277" w:lineRule="auto"/>
        <w:tabs>
          <w:tab w:leader="none" w:pos="12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66" w:name="page167"/>
    <w:bookmarkEnd w:id="166"/>
    <w:p>
      <w:pPr>
        <w:ind w:right="60" w:firstLine="987"/>
        <w:spacing w:after="0" w:line="25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interest on Securities of the series shall be payable (if other than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3.02);</w:t>
      </w:r>
    </w:p>
    <w:p>
      <w:pPr>
        <w:spacing w:after="0" w:line="102" w:lineRule="exact"/>
        <w:rPr>
          <w:rFonts w:ascii="Arial" w:cs="Arial" w:eastAsia="Arial" w:hAnsi="Arial"/>
          <w:sz w:val="17"/>
          <w:szCs w:val="17"/>
          <w:color w:val="auto"/>
        </w:rPr>
      </w:pPr>
    </w:p>
    <w:p>
      <w:pPr>
        <w:ind w:right="220" w:firstLine="987"/>
        <w:spacing w:after="0" w:line="259" w:lineRule="auto"/>
        <w:tabs>
          <w:tab w:leader="none" w:pos="12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78"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Securities of the series shall be issuable;</w:t>
      </w:r>
    </w:p>
    <w:p>
      <w:pPr>
        <w:spacing w:after="0" w:line="62"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117" w:lineRule="exact"/>
        <w:rPr>
          <w:rFonts w:ascii="Arial" w:cs="Arial" w:eastAsia="Arial" w:hAnsi="Arial"/>
          <w:sz w:val="18"/>
          <w:szCs w:val="18"/>
          <w:color w:val="auto"/>
        </w:rPr>
      </w:pPr>
    </w:p>
    <w:p>
      <w:pPr>
        <w:ind w:right="280" w:firstLine="987"/>
        <w:spacing w:after="0" w:line="277" w:lineRule="auto"/>
        <w:tabs>
          <w:tab w:leader="none" w:pos="12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62"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75" w:lineRule="exact"/>
        <w:rPr>
          <w:rFonts w:ascii="Arial" w:cs="Arial" w:eastAsia="Arial" w:hAnsi="Arial"/>
          <w:sz w:val="18"/>
          <w:szCs w:val="18"/>
          <w:color w:val="auto"/>
        </w:rPr>
      </w:pPr>
    </w:p>
    <w:p>
      <w:pPr>
        <w:jc w:val="both"/>
        <w:ind w:right="80" w:firstLine="987"/>
        <w:spacing w:after="0" w:line="263" w:lineRule="auto"/>
        <w:tabs>
          <w:tab w:leader="none" w:pos="12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75" w:lineRule="exact"/>
        <w:rPr>
          <w:rFonts w:ascii="Arial" w:cs="Arial" w:eastAsia="Arial" w:hAnsi="Arial"/>
          <w:sz w:val="18"/>
          <w:szCs w:val="18"/>
          <w:color w:val="auto"/>
        </w:rPr>
      </w:pPr>
    </w:p>
    <w:p>
      <w:pPr>
        <w:ind w:right="360" w:firstLine="987"/>
        <w:spacing w:after="0" w:line="263" w:lineRule="auto"/>
        <w:tabs>
          <w:tab w:leader="none" w:pos="129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75" w:lineRule="exact"/>
        <w:rPr>
          <w:rFonts w:ascii="Arial" w:cs="Arial" w:eastAsia="Arial" w:hAnsi="Arial"/>
          <w:sz w:val="18"/>
          <w:szCs w:val="18"/>
          <w:color w:val="auto"/>
        </w:rPr>
      </w:pPr>
    </w:p>
    <w:p>
      <w:pPr>
        <w:ind w:firstLine="987"/>
        <w:spacing w:after="0" w:line="311" w:lineRule="auto"/>
        <w:tabs>
          <w:tab w:leader="none" w:pos="124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7" w:name="page168"/>
    <w:bookmarkEnd w:id="167"/>
    <w:p>
      <w:pPr>
        <w:ind w:right="140" w:firstLine="987"/>
        <w:spacing w:after="0" w:line="263" w:lineRule="auto"/>
        <w:tabs>
          <w:tab w:leader="none" w:pos="12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75" w:lineRule="exact"/>
        <w:rPr>
          <w:rFonts w:ascii="Arial" w:cs="Arial" w:eastAsia="Arial" w:hAnsi="Arial"/>
          <w:sz w:val="18"/>
          <w:szCs w:val="18"/>
          <w:color w:val="auto"/>
        </w:rPr>
      </w:pPr>
    </w:p>
    <w:p>
      <w:pPr>
        <w:ind w:left="1220" w:hanging="233"/>
        <w:spacing w:after="0"/>
        <w:tabs>
          <w:tab w:leader="none" w:pos="12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1220" w:hanging="233"/>
        <w:spacing w:after="0"/>
        <w:tabs>
          <w:tab w:leader="none" w:pos="12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02" w:lineRule="exact"/>
        <w:rPr>
          <w:rFonts w:ascii="Arial" w:cs="Arial" w:eastAsia="Arial" w:hAnsi="Arial"/>
          <w:sz w:val="16"/>
          <w:szCs w:val="16"/>
          <w:color w:val="auto"/>
        </w:rPr>
      </w:pPr>
    </w:p>
    <w:p>
      <w:pPr>
        <w:ind w:left="1200" w:hanging="213"/>
        <w:spacing w:after="0"/>
        <w:tabs>
          <w:tab w:leader="none" w:pos="12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extent to which payments on the Securities will be subordinated to the payment of Senior Indebtedness of the Issuer; and</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an Issuer Order requesting such authentication and setting forth delivery instructions if the Securities are not to be delivered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03" w:lineRule="exact"/>
        <w:rPr>
          <w:sz w:val="20"/>
          <w:szCs w:val="20"/>
          <w:color w:val="auto"/>
        </w:rPr>
      </w:pPr>
    </w:p>
    <w:p>
      <w:pPr>
        <w:ind w:right="620" w:firstLine="987"/>
        <w:spacing w:after="0" w:line="277"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62"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117" w:lineRule="exact"/>
        <w:rPr>
          <w:rFonts w:ascii="Arial" w:cs="Arial" w:eastAsia="Arial" w:hAnsi="Arial"/>
          <w:sz w:val="18"/>
          <w:szCs w:val="18"/>
          <w:color w:val="auto"/>
        </w:rPr>
      </w:pPr>
    </w:p>
    <w:p>
      <w:pPr>
        <w:ind w:left="980" w:right="300" w:firstLine="408"/>
        <w:spacing w:after="0" w:line="277" w:lineRule="auto"/>
        <w:tabs>
          <w:tab w:leader="none" w:pos="159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authentication and delivery of such Securities by the Trustee are authorized under the provisions of this Indenture,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68" w:name="page169"/>
    <w:bookmarkEnd w:id="168"/>
    <w:p>
      <w:pPr>
        <w:ind w:left="980" w:right="520" w:firstLine="408"/>
        <w:spacing w:after="0" w:line="308" w:lineRule="auto"/>
        <w:tabs>
          <w:tab w:leader="none" w:pos="1696"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Securities when authenticated and delivered by the Trustee and issued by the Issuer in the manner and subject to any conditions specified in such Opinion of Counsel, will constitute valid and binding obligations of the Issuer,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88"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7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69" w:name="page170"/>
    <w:bookmarkEnd w:id="169"/>
    <w:p>
      <w:pPr>
        <w:ind w:right="2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7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0" w:name="page171"/>
    <w:bookmarkEnd w:id="170"/>
    <w:p>
      <w:pPr>
        <w:jc w:val="both"/>
        <w:ind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6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57" w:lineRule="exact"/>
        <w:rPr>
          <w:sz w:val="20"/>
          <w:szCs w:val="20"/>
          <w:color w:val="auto"/>
        </w:rPr>
      </w:pPr>
    </w:p>
    <w:p>
      <w:pPr>
        <w:jc w:val="both"/>
        <w:ind w:left="980" w:right="280" w:firstLine="408"/>
        <w:spacing w:after="0" w:line="263" w:lineRule="auto"/>
        <w:tabs>
          <w:tab w:leader="none" w:pos="15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75" w:lineRule="exact"/>
        <w:rPr>
          <w:rFonts w:ascii="Arial" w:cs="Arial" w:eastAsia="Arial" w:hAnsi="Arial"/>
          <w:sz w:val="18"/>
          <w:szCs w:val="18"/>
          <w:color w:val="auto"/>
        </w:rPr>
      </w:pPr>
    </w:p>
    <w:p>
      <w:pPr>
        <w:ind w:left="980" w:right="180" w:firstLine="408"/>
        <w:spacing w:after="0" w:line="342" w:lineRule="auto"/>
        <w:tabs>
          <w:tab w:leader="none" w:pos="16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24"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71" w:name="page172"/>
    <w:bookmarkEnd w:id="171"/>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2"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2" w:name="page173"/>
    <w:bookmarkEnd w:id="172"/>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THE ISSUER</w:t>
      </w:r>
    </w:p>
    <w:p>
      <w:pPr>
        <w:spacing w:after="0" w:line="22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Offices for Payments, Etc.</w:t>
      </w:r>
      <w:r>
        <w:rPr>
          <w:rFonts w:ascii="Arial" w:cs="Arial" w:eastAsia="Arial" w:hAnsi="Arial"/>
          <w:sz w:val="16"/>
          <w:szCs w:val="16"/>
          <w:color w:val="auto"/>
        </w:rPr>
        <w:t xml:space="preserve"> The Issuer will maintain (i) in _______, an agency where the Securities of each series may be presented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will maintain in __________, an agency where notices and demands to or upon the Issuer in respect of the Securities of any series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 may be served.</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w:t>
      </w:r>
    </w:p>
    <w:p>
      <w:pPr>
        <w:spacing w:after="0"/>
        <w:rPr>
          <w:sz w:val="20"/>
          <w:szCs w:val="20"/>
          <w:color w:val="auto"/>
        </w:rPr>
      </w:pPr>
      <w:r>
        <w:rPr>
          <w:rFonts w:ascii="Arial" w:cs="Arial" w:eastAsia="Arial" w:hAnsi="Arial"/>
          <w:sz w:val="16"/>
          <w:szCs w:val="16"/>
          <w:color w:val="auto"/>
        </w:rPr>
        <w:t>location of any of the above agencies, presentations and demands may be made and notices may be served at the Corporate Trust Office of the Trustee.</w:t>
      </w:r>
    </w:p>
    <w:p>
      <w:pPr>
        <w:spacing w:after="0" w:line="23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3" w:name="page174"/>
    <w:bookmarkEnd w:id="173"/>
    <w:p>
      <w:pPr>
        <w:ind w:right="200" w:firstLine="987"/>
        <w:spacing w:after="0" w:line="263" w:lineRule="auto"/>
        <w:tabs>
          <w:tab w:leader="none" w:pos="12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75"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62"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76" w:lineRule="exact"/>
        <w:rPr>
          <w:sz w:val="20"/>
          <w:szCs w:val="20"/>
          <w:color w:val="auto"/>
        </w:rPr>
      </w:pPr>
    </w:p>
    <w:p>
      <w:pPr>
        <w:ind w:right="20" w:firstLine="987"/>
        <w:spacing w:after="0" w:line="308" w:lineRule="auto"/>
        <w:tabs>
          <w:tab w:leader="none" w:pos="123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38"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and so long as the Trustee shall be the Security registrar (the </w:t>
      </w:r>
      <w:r>
        <w:rPr>
          <w:rFonts w:ascii="Arial" w:cs="Arial" w:eastAsia="Arial" w:hAnsi="Arial"/>
          <w:sz w:val="18"/>
          <w:szCs w:val="18"/>
          <w:b w:val="1"/>
          <w:bCs w:val="1"/>
          <w:color w:val="auto"/>
        </w:rPr>
        <w:t>“Security Registrar”</w:t>
      </w:r>
      <w:r>
        <w:rPr>
          <w:rFonts w:ascii="Arial" w:cs="Arial" w:eastAsia="Arial" w:hAnsi="Arial"/>
          <w:sz w:val="18"/>
          <w:szCs w:val="18"/>
          <w:color w:val="auto"/>
        </w:rPr>
        <w:t>) for such series, such list shall not be required to be furnished.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74" w:name="page175"/>
    <w:bookmarkEnd w:id="174"/>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 or before ______ in each year following the date hereof, so long as any Securities are Outstanding hereunder, and shall be dated as of a date convenient</w:t>
      </w:r>
    </w:p>
    <w:p>
      <w:pPr>
        <w:ind w:right="300"/>
        <w:spacing w:after="0" w:line="260" w:lineRule="auto"/>
        <w:rPr>
          <w:sz w:val="20"/>
          <w:szCs w:val="20"/>
          <w:color w:val="auto"/>
        </w:rPr>
      </w:pPr>
      <w:r>
        <w:rPr>
          <w:rFonts w:ascii="Arial" w:cs="Arial" w:eastAsia="Arial" w:hAnsi="Arial"/>
          <w:sz w:val="18"/>
          <w:szCs w:val="18"/>
          <w:color w:val="auto"/>
        </w:rPr>
        <w:t>to the Trustee but no more than 60 nor less than 45 days prior thereto. The Trustee shall comply with Sections 313(b), 313(c) and 313(d) of the Trust Indenture Act of 1939.</w:t>
      </w:r>
    </w:p>
    <w:p>
      <w:pPr>
        <w:spacing w:after="0" w:line="18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92" w:lineRule="exact"/>
        <w:rPr>
          <w:sz w:val="20"/>
          <w:szCs w:val="20"/>
          <w:color w:val="auto"/>
        </w:rPr>
      </w:pPr>
    </w:p>
    <w:p>
      <w:pPr>
        <w:ind w:left="1420" w:hanging="439"/>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1"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right="180" w:firstLine="987"/>
        <w:spacing w:after="0" w:line="263"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75"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75" w:lineRule="exact"/>
        <w:rPr>
          <w:rFonts w:ascii="Arial" w:cs="Arial" w:eastAsia="Arial" w:hAnsi="Arial"/>
          <w:sz w:val="18"/>
          <w:szCs w:val="18"/>
          <w:color w:val="auto"/>
        </w:rPr>
      </w:pPr>
    </w:p>
    <w:p>
      <w:pPr>
        <w:ind w:firstLine="987"/>
        <w:spacing w:after="0" w:line="296" w:lineRule="auto"/>
        <w:tabs>
          <w:tab w:leader="none" w:pos="12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75" w:name="page176"/>
    <w:bookmarkEnd w:id="175"/>
    <w:p>
      <w:pPr>
        <w:ind w:right="100" w:firstLine="987"/>
        <w:spacing w:after="0" w:line="279" w:lineRule="auto"/>
        <w:tabs>
          <w:tab w:leader="none" w:pos="1246"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63" w:lineRule="exact"/>
        <w:rPr>
          <w:rFonts w:ascii="Arial" w:cs="Arial" w:eastAsia="Arial" w:hAnsi="Arial"/>
          <w:sz w:val="17"/>
          <w:szCs w:val="17"/>
          <w:color w:val="auto"/>
        </w:rPr>
      </w:pPr>
    </w:p>
    <w:p>
      <w:pPr>
        <w:ind w:right="20" w:firstLine="987"/>
        <w:spacing w:after="0" w:line="259" w:lineRule="auto"/>
        <w:tabs>
          <w:tab w:leader="none" w:pos="123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78" w:lineRule="exact"/>
        <w:rPr>
          <w:rFonts w:ascii="Arial" w:cs="Arial" w:eastAsia="Arial" w:hAnsi="Arial"/>
          <w:sz w:val="18"/>
          <w:szCs w:val="18"/>
          <w:color w:val="auto"/>
        </w:rPr>
      </w:pPr>
    </w:p>
    <w:p>
      <w:pPr>
        <w:ind w:left="1220" w:hanging="233"/>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6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76" w:name="page177"/>
    <w:bookmarkEnd w:id="176"/>
    <w:p>
      <w:pPr>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Arial" w:cs="Arial" w:eastAsia="Arial" w:hAnsi="Arial"/>
          <w:sz w:val="16"/>
          <w:szCs w:val="16"/>
          <w:i w:val="1"/>
          <w:iCs w:val="1"/>
          <w:color w:val="auto"/>
        </w:rPr>
        <w:t>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72"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69" w:lineRule="exact"/>
        <w:rPr>
          <w:sz w:val="20"/>
          <w:szCs w:val="20"/>
          <w:color w:val="auto"/>
        </w:rPr>
      </w:pPr>
    </w:p>
    <w:p>
      <w:pPr>
        <w:ind w:left="980" w:right="240" w:firstLine="408"/>
        <w:spacing w:after="0" w:line="291" w:lineRule="auto"/>
        <w:tabs>
          <w:tab w:leader="none" w:pos="159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58" w:lineRule="exact"/>
        <w:rPr>
          <w:rFonts w:ascii="Arial" w:cs="Arial" w:eastAsia="Arial" w:hAnsi="Arial"/>
          <w:sz w:val="16"/>
          <w:szCs w:val="16"/>
          <w:color w:val="auto"/>
        </w:rPr>
      </w:pPr>
    </w:p>
    <w:p>
      <w:pPr>
        <w:ind w:left="980" w:firstLine="408"/>
        <w:spacing w:after="0" w:line="263" w:lineRule="auto"/>
        <w:tabs>
          <w:tab w:leader="none" w:pos="16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75" w:lineRule="exact"/>
        <w:rPr>
          <w:rFonts w:ascii="Arial" w:cs="Arial" w:eastAsia="Arial" w:hAnsi="Arial"/>
          <w:sz w:val="18"/>
          <w:szCs w:val="18"/>
          <w:color w:val="auto"/>
        </w:rPr>
      </w:pPr>
    </w:p>
    <w:p>
      <w:pPr>
        <w:ind w:left="980" w:right="20" w:firstLine="408"/>
        <w:spacing w:after="0" w:line="291" w:lineRule="auto"/>
        <w:tabs>
          <w:tab w:leader="none" w:pos="169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77" w:name="page178"/>
    <w:bookmarkEnd w:id="177"/>
    <w:p>
      <w:pPr>
        <w:ind w:right="4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61"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78" w:name="page179"/>
    <w:bookmarkEnd w:id="178"/>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7"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79" w:name="page180"/>
    <w:bookmarkEnd w:id="179"/>
    <w:p>
      <w:pPr>
        <w:jc w:val="both"/>
        <w:ind w:right="2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Control by Holders of Securities</w:t>
      </w:r>
      <w:r>
        <w:rPr>
          <w:rFonts w:ascii="Arial" w:cs="Arial" w:eastAsia="Arial" w:hAnsi="Arial"/>
          <w:sz w:val="17"/>
          <w:szCs w:val="17"/>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8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Arial" w:cs="Arial" w:eastAsia="Arial" w:hAnsi="Arial"/>
          <w:sz w:val="17"/>
          <w:szCs w:val="17"/>
          <w:b w:val="1"/>
          <w:bCs w:val="1"/>
          <w:color w:val="auto"/>
        </w:rPr>
        <w:t>defaults</w:t>
      </w:r>
      <w:r>
        <w:rPr>
          <w:rFonts w:ascii="Arial" w:cs="Arial" w:eastAsia="Arial" w:hAnsi="Arial"/>
          <w:sz w:val="17"/>
          <w:szCs w:val="17"/>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Right of Court to Require Filing of Undertaking to Pay Costs</w:t>
      </w:r>
      <w:r>
        <w:rPr>
          <w:rFonts w:ascii="Arial" w:cs="Arial" w:eastAsia="Arial" w:hAnsi="Arial"/>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80" w:name="page181"/>
    <w:bookmarkEnd w:id="180"/>
    <w:p>
      <w:pPr>
        <w:ind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29" w:lineRule="exact"/>
        <w:rPr>
          <w:sz w:val="20"/>
          <w:szCs w:val="20"/>
          <w:color w:val="auto"/>
        </w:rPr>
      </w:pPr>
    </w:p>
    <w:p>
      <w:pPr>
        <w:ind w:right="80" w:firstLine="987"/>
        <w:spacing w:after="0" w:line="301" w:lineRule="auto"/>
        <w:tabs>
          <w:tab w:leader="none" w:pos="12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49"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75" w:lineRule="exact"/>
        <w:rPr>
          <w:rFonts w:ascii="Arial" w:cs="Arial" w:eastAsia="Arial" w:hAnsi="Arial"/>
          <w:sz w:val="18"/>
          <w:szCs w:val="18"/>
          <w:color w:val="auto"/>
        </w:rPr>
      </w:pPr>
    </w:p>
    <w:p>
      <w:pPr>
        <w:jc w:val="both"/>
        <w:ind w:right="80" w:firstLine="987"/>
        <w:spacing w:after="0" w:line="286" w:lineRule="auto"/>
        <w:tabs>
          <w:tab w:leader="none" w:pos="124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57" w:lineRule="exact"/>
        <w:rPr>
          <w:rFonts w:ascii="Arial" w:cs="Arial" w:eastAsia="Arial" w:hAnsi="Arial"/>
          <w:sz w:val="17"/>
          <w:szCs w:val="17"/>
          <w:color w:val="auto"/>
        </w:rPr>
      </w:pPr>
    </w:p>
    <w:p>
      <w:pPr>
        <w:ind w:right="60" w:firstLine="987"/>
        <w:spacing w:after="0" w:line="263"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75" w:lineRule="exact"/>
        <w:rPr>
          <w:rFonts w:ascii="Arial" w:cs="Arial" w:eastAsia="Arial" w:hAnsi="Arial"/>
          <w:sz w:val="18"/>
          <w:szCs w:val="18"/>
          <w:color w:val="auto"/>
        </w:rPr>
      </w:pPr>
    </w:p>
    <w:p>
      <w:pPr>
        <w:ind w:firstLine="987"/>
        <w:spacing w:after="0" w:line="263" w:lineRule="auto"/>
        <w:tabs>
          <w:tab w:leader="none" w:pos="12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81" w:name="page182"/>
    <w:bookmarkEnd w:id="181"/>
    <w:p>
      <w:pPr>
        <w:ind w:right="120" w:firstLine="987"/>
        <w:spacing w:after="0" w:line="342"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5" w:lineRule="exact"/>
        <w:rPr>
          <w:rFonts w:ascii="Arial" w:cs="Arial" w:eastAsia="Arial" w:hAnsi="Arial"/>
          <w:sz w:val="16"/>
          <w:szCs w:val="16"/>
          <w:color w:val="auto"/>
        </w:rPr>
      </w:pPr>
    </w:p>
    <w:p>
      <w:pPr>
        <w:ind w:right="340" w:firstLine="987"/>
        <w:spacing w:after="0" w:line="286" w:lineRule="auto"/>
        <w:tabs>
          <w:tab w:leader="none" w:pos="124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57" w:lineRule="exact"/>
        <w:rPr>
          <w:rFonts w:ascii="Arial" w:cs="Arial" w:eastAsia="Arial" w:hAnsi="Arial"/>
          <w:sz w:val="17"/>
          <w:szCs w:val="17"/>
          <w:color w:val="auto"/>
        </w:rPr>
      </w:pPr>
    </w:p>
    <w:p>
      <w:pPr>
        <w:ind w:right="560" w:firstLine="987"/>
        <w:spacing w:after="0" w:line="277" w:lineRule="auto"/>
        <w:tabs>
          <w:tab w:leader="none" w:pos="120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62" w:lineRule="exact"/>
        <w:rPr>
          <w:rFonts w:ascii="Arial" w:cs="Arial" w:eastAsia="Arial" w:hAnsi="Arial"/>
          <w:sz w:val="18"/>
          <w:szCs w:val="18"/>
          <w:color w:val="auto"/>
        </w:rPr>
      </w:pPr>
    </w:p>
    <w:p>
      <w:pPr>
        <w:ind w:firstLine="987"/>
        <w:spacing w:after="0" w:line="271" w:lineRule="auto"/>
        <w:tabs>
          <w:tab w:leader="none" w:pos="120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70" w:lineRule="exact"/>
        <w:rPr>
          <w:rFonts w:ascii="Arial" w:cs="Arial" w:eastAsia="Arial" w:hAnsi="Arial"/>
          <w:sz w:val="17"/>
          <w:szCs w:val="17"/>
          <w:color w:val="auto"/>
        </w:rPr>
      </w:pPr>
    </w:p>
    <w:p>
      <w:pPr>
        <w:ind w:right="140" w:firstLine="987"/>
        <w:spacing w:after="0" w:line="263" w:lineRule="auto"/>
        <w:tabs>
          <w:tab w:leader="none" w:pos="12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5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82" w:name="page183"/>
    <w:bookmarkEnd w:id="18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6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60" w:lineRule="exact"/>
        <w:rPr>
          <w:sz w:val="20"/>
          <w:szCs w:val="20"/>
          <w:color w:val="auto"/>
        </w:rPr>
      </w:pPr>
    </w:p>
    <w:p>
      <w:pPr>
        <w:ind w:left="1240" w:hanging="253"/>
        <w:spacing w:after="0"/>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980" w:right="60" w:firstLine="408"/>
        <w:spacing w:after="0" w:line="263" w:lineRule="auto"/>
        <w:tabs>
          <w:tab w:leader="none" w:pos="159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83" w:name="page184"/>
    <w:bookmarkEnd w:id="183"/>
    <w:p>
      <w:pPr>
        <w:ind w:left="980" w:right="160" w:firstLine="408"/>
        <w:spacing w:after="0" w:line="277" w:lineRule="auto"/>
        <w:tabs>
          <w:tab w:leader="none" w:pos="16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cease to be eligible in accordance with the provisions of Section 310(a) of the Trust Indenture Act of 1939 and shall fail to resign after written request therefor by the Issuer or by any Securityholder; or</w:t>
      </w:r>
    </w:p>
    <w:p>
      <w:pPr>
        <w:spacing w:after="0" w:line="62" w:lineRule="exact"/>
        <w:rPr>
          <w:rFonts w:ascii="Arial" w:cs="Arial" w:eastAsia="Arial" w:hAnsi="Arial"/>
          <w:sz w:val="18"/>
          <w:szCs w:val="18"/>
          <w:color w:val="auto"/>
        </w:rPr>
      </w:pPr>
    </w:p>
    <w:p>
      <w:pPr>
        <w:ind w:left="980" w:right="100" w:firstLine="408"/>
        <w:spacing w:after="0" w:line="263" w:lineRule="auto"/>
        <w:tabs>
          <w:tab w:leader="none" w:pos="169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56" w:lineRule="exact"/>
        <w:rPr>
          <w:sz w:val="20"/>
          <w:szCs w:val="20"/>
          <w:color w:val="auto"/>
        </w:rPr>
      </w:pPr>
    </w:p>
    <w:p>
      <w:pPr>
        <w:ind w:right="100" w:firstLine="987"/>
        <w:spacing w:after="0" w:line="259"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78"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6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7"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84" w:name="page185"/>
    <w:bookmarkEnd w:id="184"/>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9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85" w:name="page186"/>
    <w:bookmarkEnd w:id="185"/>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76" w:lineRule="exact"/>
        <w:rPr>
          <w:sz w:val="20"/>
          <w:szCs w:val="20"/>
          <w:color w:val="auto"/>
        </w:rPr>
      </w:pPr>
    </w:p>
    <w:p>
      <w:pPr>
        <w:ind w:left="1240" w:hanging="253"/>
        <w:spacing w:after="0"/>
        <w:tabs>
          <w:tab w:leader="none" w:pos="12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140" w:lineRule="exact"/>
        <w:rPr>
          <w:rFonts w:ascii="Arial" w:cs="Arial" w:eastAsia="Arial" w:hAnsi="Arial"/>
          <w:sz w:val="16"/>
          <w:szCs w:val="16"/>
          <w:color w:val="auto"/>
        </w:rPr>
      </w:pPr>
    </w:p>
    <w:p>
      <w:pPr>
        <w:ind w:right="420" w:firstLine="987"/>
        <w:spacing w:after="0" w:line="277" w:lineRule="auto"/>
        <w:tabs>
          <w:tab w:leader="none" w:pos="12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62" w:lineRule="exact"/>
        <w:rPr>
          <w:rFonts w:ascii="Arial" w:cs="Arial" w:eastAsia="Arial" w:hAnsi="Arial"/>
          <w:sz w:val="18"/>
          <w:szCs w:val="18"/>
          <w:color w:val="auto"/>
        </w:rPr>
      </w:pPr>
    </w:p>
    <w:p>
      <w:pPr>
        <w:ind w:right="300" w:firstLine="987"/>
        <w:spacing w:after="0" w:line="277" w:lineRule="auto"/>
        <w:tabs>
          <w:tab w:leader="none" w:pos="12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86" w:name="page187"/>
    <w:bookmarkEnd w:id="186"/>
    <w:p>
      <w:pPr>
        <w:ind w:firstLine="987"/>
        <w:spacing w:after="0" w:line="254" w:lineRule="auto"/>
        <w:tabs>
          <w:tab w:leader="none" w:pos="12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83" w:lineRule="exact"/>
        <w:rPr>
          <w:rFonts w:ascii="Arial" w:cs="Arial" w:eastAsia="Arial" w:hAnsi="Arial"/>
          <w:sz w:val="18"/>
          <w:szCs w:val="18"/>
          <w:color w:val="auto"/>
        </w:rPr>
      </w:pPr>
    </w:p>
    <w:p>
      <w:pPr>
        <w:ind w:right="360" w:firstLine="987"/>
        <w:spacing w:after="0" w:line="308" w:lineRule="auto"/>
        <w:tabs>
          <w:tab w:leader="none" w:pos="123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38" w:lineRule="exact"/>
        <w:rPr>
          <w:rFonts w:ascii="Arial" w:cs="Arial" w:eastAsia="Arial" w:hAnsi="Arial"/>
          <w:sz w:val="17"/>
          <w:szCs w:val="17"/>
          <w:color w:val="auto"/>
        </w:rPr>
      </w:pPr>
    </w:p>
    <w:p>
      <w:pPr>
        <w:ind w:left="1220" w:hanging="233"/>
        <w:spacing w:after="0"/>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17" w:lineRule="exact"/>
        <w:rPr>
          <w:rFonts w:ascii="Arial" w:cs="Arial" w:eastAsia="Arial" w:hAnsi="Arial"/>
          <w:sz w:val="18"/>
          <w:szCs w:val="18"/>
          <w:color w:val="auto"/>
        </w:rPr>
      </w:pPr>
    </w:p>
    <w:p>
      <w:pPr>
        <w:jc w:val="both"/>
        <w:ind w:right="360" w:firstLine="987"/>
        <w:spacing w:after="0" w:line="263" w:lineRule="auto"/>
        <w:tabs>
          <w:tab w:leader="none" w:pos="12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75" w:lineRule="exact"/>
        <w:rPr>
          <w:rFonts w:ascii="Arial" w:cs="Arial" w:eastAsia="Arial" w:hAnsi="Arial"/>
          <w:sz w:val="18"/>
          <w:szCs w:val="18"/>
          <w:color w:val="auto"/>
        </w:rPr>
      </w:pPr>
    </w:p>
    <w:p>
      <w:pPr>
        <w:jc w:val="both"/>
        <w:ind w:right="220" w:firstLine="987"/>
        <w:spacing w:after="0" w:line="259" w:lineRule="auto"/>
        <w:tabs>
          <w:tab w:leader="none" w:pos="120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Supplemental Indentures With Consent of Securityholders.</w:t>
      </w:r>
      <w:r>
        <w:rPr>
          <w:rFonts w:ascii="Arial" w:cs="Arial" w:eastAsia="Arial" w:hAnsi="Arial"/>
          <w:sz w:val="18"/>
          <w:szCs w:val="18"/>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8"/>
          <w:szCs w:val="18"/>
          <w:i w:val="1"/>
          <w:iCs w:val="1"/>
          <w:color w:val="auto"/>
        </w:rPr>
        <w:t>provided</w:t>
      </w:r>
      <w:r>
        <w:rPr>
          <w:rFonts w:ascii="Arial" w:cs="Arial" w:eastAsia="Arial" w:hAnsi="Arial"/>
          <w:sz w:val="18"/>
          <w:szCs w:val="18"/>
          <w:color w:val="auto"/>
        </w:rPr>
        <w:t>, that no such supplemental indenture shall, without the consent of the Holder of each Security so affected, (a) extend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87" w:name="page188"/>
    <w:bookmarkEnd w:id="18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7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88" w:name="page189"/>
    <w:bookmarkEnd w:id="188"/>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68" w:lineRule="auto"/>
        <w:tabs>
          <w:tab w:leader="none" w:pos="26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92"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SATISFACTION AND DISCHARGE OF INDENTURE; DEFEASANCE;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UNCLAIMED MONEYS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17" w:lineRule="exact"/>
        <w:rPr>
          <w:sz w:val="20"/>
          <w:szCs w:val="20"/>
          <w:color w:val="auto"/>
        </w:rPr>
      </w:pPr>
    </w:p>
    <w:p>
      <w:pPr>
        <w:ind w:left="984" w:right="120" w:firstLine="408"/>
        <w:spacing w:after="0" w:line="311" w:lineRule="auto"/>
        <w:tabs>
          <w:tab w:leader="none" w:pos="1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89" w:name="page190"/>
    <w:bookmarkEnd w:id="189"/>
    <w:p>
      <w:pPr>
        <w:ind w:left="980" w:right="60" w:firstLine="408"/>
        <w:spacing w:after="0" w:line="263" w:lineRule="auto"/>
        <w:tabs>
          <w:tab w:leader="none" w:pos="16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75" w:lineRule="exact"/>
        <w:rPr>
          <w:rFonts w:ascii="Arial" w:cs="Arial" w:eastAsia="Arial" w:hAnsi="Arial"/>
          <w:sz w:val="18"/>
          <w:szCs w:val="18"/>
          <w:color w:val="auto"/>
        </w:rPr>
      </w:pPr>
    </w:p>
    <w:p>
      <w:pPr>
        <w:ind w:left="980" w:right="460" w:firstLine="408"/>
        <w:spacing w:after="0" w:line="263" w:lineRule="auto"/>
        <w:tabs>
          <w:tab w:leader="none" w:pos="169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75" w:lineRule="exact"/>
        <w:rPr>
          <w:rFonts w:ascii="Arial" w:cs="Arial" w:eastAsia="Arial" w:hAnsi="Arial"/>
          <w:sz w:val="18"/>
          <w:szCs w:val="18"/>
          <w:color w:val="auto"/>
        </w:rPr>
      </w:pPr>
    </w:p>
    <w:p>
      <w:pPr>
        <w:ind w:left="1420" w:right="20" w:firstLine="391"/>
        <w:spacing w:after="0" w:line="286" w:lineRule="auto"/>
        <w:tabs>
          <w:tab w:leader="none" w:pos="209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57" w:lineRule="exact"/>
        <w:rPr>
          <w:rFonts w:ascii="Arial" w:cs="Arial" w:eastAsia="Arial" w:hAnsi="Arial"/>
          <w:sz w:val="17"/>
          <w:szCs w:val="17"/>
          <w:color w:val="auto"/>
        </w:rPr>
      </w:pPr>
    </w:p>
    <w:p>
      <w:pPr>
        <w:ind w:left="1420" w:firstLine="391"/>
        <w:spacing w:after="0" w:line="269" w:lineRule="auto"/>
        <w:tabs>
          <w:tab w:leader="none" w:pos="208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90" w:name="page191"/>
    <w:bookmarkEnd w:id="190"/>
    <w:p>
      <w:pPr>
        <w:ind w:firstLine="987"/>
        <w:spacing w:after="0" w:line="268" w:lineRule="auto"/>
        <w:tabs>
          <w:tab w:leader="none" w:pos="1246" w:val="left"/>
        </w:tabs>
        <w:numPr>
          <w:ilvl w:val="0"/>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7"/>
          <w:szCs w:val="17"/>
          <w:b w:val="1"/>
          <w:bCs w:val="1"/>
          <w:color w:val="auto"/>
        </w:rPr>
        <w:t>Legal Defeasance</w:t>
      </w:r>
      <w:r>
        <w:rPr>
          <w:rFonts w:ascii="Arial" w:cs="Arial" w:eastAsia="Arial" w:hAnsi="Arial"/>
          <w:sz w:val="17"/>
          <w:szCs w:val="17"/>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78" w:lineRule="exact"/>
        <w:rPr>
          <w:rFonts w:ascii="Arial" w:cs="Arial" w:eastAsia="Arial" w:hAnsi="Arial"/>
          <w:sz w:val="17"/>
          <w:szCs w:val="17"/>
          <w:color w:val="auto"/>
        </w:rPr>
      </w:pPr>
    </w:p>
    <w:p>
      <w:pPr>
        <w:ind w:right="20" w:firstLine="987"/>
        <w:spacing w:after="0" w:line="286" w:lineRule="auto"/>
        <w:tabs>
          <w:tab w:leader="none" w:pos="123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62" w:lineRule="exact"/>
        <w:rPr>
          <w:rFonts w:ascii="Arial" w:cs="Arial" w:eastAsia="Arial" w:hAnsi="Arial"/>
          <w:sz w:val="16"/>
          <w:szCs w:val="16"/>
          <w:color w:val="auto"/>
        </w:rPr>
      </w:pPr>
    </w:p>
    <w:p>
      <w:pPr>
        <w:ind w:right="360" w:firstLine="987"/>
        <w:spacing w:after="0" w:line="277" w:lineRule="auto"/>
        <w:tabs>
          <w:tab w:leader="none" w:pos="12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62" w:lineRule="exact"/>
        <w:rPr>
          <w:rFonts w:ascii="Arial" w:cs="Arial" w:eastAsia="Arial" w:hAnsi="Arial"/>
          <w:sz w:val="18"/>
          <w:szCs w:val="18"/>
          <w:color w:val="auto"/>
        </w:rPr>
      </w:pPr>
    </w:p>
    <w:p>
      <w:pPr>
        <w:ind w:left="980" w:right="80" w:firstLine="408"/>
        <w:spacing w:after="0" w:line="287" w:lineRule="auto"/>
        <w:tabs>
          <w:tab w:leader="none" w:pos="159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91" w:name="page192"/>
    <w:bookmarkEnd w:id="191"/>
    <w:p>
      <w:pPr>
        <w:ind w:left="980" w:right="300" w:firstLine="408"/>
        <w:spacing w:after="0" w:line="342" w:lineRule="auto"/>
        <w:tabs>
          <w:tab w:leader="none" w:pos="16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5" w:lineRule="exact"/>
        <w:rPr>
          <w:rFonts w:ascii="Arial" w:cs="Arial" w:eastAsia="Arial" w:hAnsi="Arial"/>
          <w:sz w:val="16"/>
          <w:szCs w:val="16"/>
          <w:color w:val="auto"/>
        </w:rPr>
      </w:pPr>
    </w:p>
    <w:p>
      <w:pPr>
        <w:ind w:left="980" w:right="220" w:firstLine="408"/>
        <w:spacing w:after="0" w:line="263" w:lineRule="auto"/>
        <w:tabs>
          <w:tab w:leader="none" w:pos="16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75" w:lineRule="exact"/>
        <w:rPr>
          <w:rFonts w:ascii="Arial" w:cs="Arial" w:eastAsia="Arial" w:hAnsi="Arial"/>
          <w:sz w:val="18"/>
          <w:szCs w:val="18"/>
          <w:color w:val="auto"/>
        </w:rPr>
      </w:pPr>
    </w:p>
    <w:p>
      <w:pPr>
        <w:ind w:left="980" w:right="20" w:firstLine="408"/>
        <w:spacing w:after="0" w:line="254" w:lineRule="auto"/>
        <w:tabs>
          <w:tab w:leader="none" w:pos="16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86" w:lineRule="exact"/>
        <w:rPr>
          <w:rFonts w:ascii="Arial" w:cs="Arial" w:eastAsia="Arial" w:hAnsi="Arial"/>
          <w:sz w:val="18"/>
          <w:szCs w:val="18"/>
          <w:color w:val="auto"/>
        </w:rPr>
      </w:pPr>
    </w:p>
    <w:p>
      <w:pPr>
        <w:ind w:left="980" w:right="200" w:firstLine="408"/>
        <w:spacing w:after="0" w:line="257" w:lineRule="auto"/>
        <w:tabs>
          <w:tab w:leader="none" w:pos="16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79" w:lineRule="exact"/>
        <w:rPr>
          <w:rFonts w:ascii="Arial" w:cs="Arial" w:eastAsia="Arial" w:hAnsi="Arial"/>
          <w:sz w:val="18"/>
          <w:szCs w:val="18"/>
          <w:color w:val="auto"/>
        </w:rPr>
      </w:pPr>
    </w:p>
    <w:p>
      <w:pPr>
        <w:ind w:left="980" w:right="120" w:firstLine="408"/>
        <w:spacing w:after="0" w:line="277" w:lineRule="auto"/>
        <w:tabs>
          <w:tab w:leader="none" w:pos="16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192" w:name="page193"/>
    <w:bookmarkEnd w:id="192"/>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6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Notices and Demands on Issuer, Trustee and Holders of Securities.</w:t>
      </w:r>
      <w:r>
        <w:rPr>
          <w:rFonts w:ascii="Arial" w:cs="Arial" w:eastAsia="Arial" w:hAnsi="Arial"/>
          <w:sz w:val="17"/>
          <w:szCs w:val="17"/>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Werewolf Therapeutics, Inc., 1030 Massachusetts Avenue, Suite 210, Cambridge, Massachusetts 02138, Attn: Chief Financial Officer. Any notice, direction, request or demand by the Issuer or any Holder of Securities to or upon the Trustee shall be deemed to have been sufficiently given or made, for all purposes, if given or made at _______, ________, Attn: _______.</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93" w:name="page194"/>
    <w:bookmarkEnd w:id="193"/>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94" w:name="page195"/>
    <w:bookmarkEnd w:id="194"/>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i w:val="1"/>
          <w:iCs w:val="1"/>
          <w:color w:val="auto"/>
        </w:rPr>
        <w:t>Notice of Redemption; Partial Redemptions.</w:t>
      </w:r>
      <w:r>
        <w:rPr>
          <w:rFonts w:ascii="Arial" w:cs="Arial" w:eastAsia="Arial" w:hAnsi="Arial"/>
          <w:sz w:val="17"/>
          <w:szCs w:val="17"/>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78" w:lineRule="exact"/>
        <w:rPr>
          <w:sz w:val="20"/>
          <w:szCs w:val="20"/>
          <w:color w:val="auto"/>
        </w:rPr>
      </w:pPr>
    </w:p>
    <w:p>
      <w:pPr>
        <w:jc w:val="both"/>
        <w:ind w:right="580" w:firstLine="440"/>
        <w:spacing w:after="0" w:line="301"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95" w:name="page196"/>
    <w:bookmarkEnd w:id="195"/>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5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7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7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96" w:name="page197"/>
    <w:bookmarkEnd w:id="196"/>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right="260" w:firstLine="440"/>
        <w:spacing w:after="0" w:line="290"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97" w:name="page198"/>
    <w:bookmarkEnd w:id="197"/>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i w:val="1"/>
          <w:iCs w:val="1"/>
          <w:color w:val="auto"/>
        </w:rPr>
        <w:t>Agreement of Subordination.</w:t>
      </w:r>
      <w:r>
        <w:rPr>
          <w:rFonts w:ascii="Arial" w:cs="Arial" w:eastAsia="Arial" w:hAnsi="Arial"/>
          <w:sz w:val="17"/>
          <w:szCs w:val="17"/>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provisions of this Article 13 define the subordination of the Securities, as obligations of the Issuer, with respect to Senior Indebtedness of the Issuer.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Article 13 shall prevent the occurrence of any default or Event of Default hereunder.</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i w:val="1"/>
          <w:iCs w:val="1"/>
          <w:color w:val="auto"/>
        </w:rPr>
        <w:t>Payments to Securityholders.</w:t>
      </w:r>
      <w:r>
        <w:rPr>
          <w:rFonts w:ascii="Arial" w:cs="Arial" w:eastAsia="Arial" w:hAnsi="Arial"/>
          <w:sz w:val="17"/>
          <w:szCs w:val="17"/>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8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6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99" w:name="page200"/>
    <w:bookmarkEnd w:id="199"/>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13.03 </w:t>
      </w:r>
      <w:r>
        <w:rPr>
          <w:rFonts w:ascii="Arial" w:cs="Arial" w:eastAsia="Arial" w:hAnsi="Arial"/>
          <w:sz w:val="17"/>
          <w:szCs w:val="17"/>
          <w:i w:val="1"/>
          <w:iCs w:val="1"/>
          <w:color w:val="auto"/>
        </w:rPr>
        <w:t>Subrogation of Securities.</w:t>
      </w:r>
      <w:r>
        <w:rPr>
          <w:rFonts w:ascii="Arial" w:cs="Arial" w:eastAsia="Arial" w:hAnsi="Arial"/>
          <w:sz w:val="17"/>
          <w:szCs w:val="17"/>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8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6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spacing w:after="0" w:line="17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i w:val="1"/>
          <w:iCs w:val="1"/>
          <w:color w:val="auto"/>
        </w:rPr>
        <w:t>Notice to Trustee.</w:t>
      </w:r>
      <w:r>
        <w:rPr>
          <w:rFonts w:ascii="Arial" w:cs="Arial" w:eastAsia="Arial" w:hAnsi="Arial"/>
          <w:sz w:val="17"/>
          <w:szCs w:val="17"/>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00" w:name="page201"/>
    <w:bookmarkEnd w:id="20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Rights of Trustee.</w:t>
      </w:r>
      <w:r>
        <w:rPr>
          <w:rFonts w:ascii="Arial" w:cs="Arial" w:eastAsia="Arial" w:hAnsi="Arial"/>
          <w:sz w:val="17"/>
          <w:szCs w:val="17"/>
          <w:color w:val="auto"/>
        </w:rPr>
        <w:t xml:space="preserve"> Nothing in this Article 13 shall apply to claims of or payments to, the Trustee pursuant to Section 6.06.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_____________.</w:t>
      </w:r>
    </w:p>
    <w:p>
      <w:pPr>
        <w:spacing w:after="0" w:line="25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WEREWOLF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J. Hicklin,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-10160</wp:posOffset>
            </wp:positionV>
            <wp:extent cx="571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19"/>
          </w:cols>
          <w:pgMar w:left="440" w:top="274"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Senior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 PURPOSES OF SECTIONS 1272, 1273 AND 1275 OF THE INTERNAL REVENUE CODE OF 1986, AS AMENDED, AND THE RULES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THEREUNDER, THIS NOTE IS BEING ISSUED WITH ORIGINAL ISSUE DISCOUNT; PLEASE CONTACT TIMOTHY W. TROST, CHIEF FINANCIAL OFFICER AND TREASURER, WEREWOLF THERAPEUTICS, INC., 1030 MASSACHUSETTS AVENUE, SUITE 210, CAMBRIDGE, MA 02138, TELEPHONE: (617) 952-0555, TO OBTAIN INFORMATION REGARDING THE ISSUE PRICE, THE ISSUE DATE, THE AMOUNT OF ORIGINAL ISSUE DISCOUNT AND THE YIELD TO MATURITY.</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203" w:name="page204"/>
    <w:bookmarkEnd w:id="203"/>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WEREWOLF THERAPEUTICS, INC.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Title of Security ]</w:t>
      </w:r>
    </w:p>
    <w:p>
      <w:pPr>
        <w:sectPr>
          <w:pgSz w:w="11900" w:h="16838" w:orient="portrait"/>
          <w:cols w:equalWidth="0" w:num="1">
            <w:col w:w="11020"/>
          </w:cols>
          <w:pgMar w:left="440" w:top="274"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[Common Code][ISIN]: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60" w:space="180"/>
            <w:col w:w="7680" w:space="720"/>
            <w:col w:w="1840" w:space="20"/>
            <w:col w:w="220"/>
          </w:cols>
          <w:pgMar w:left="440" w:top="274" w:right="439" w:bottom="1440" w:gutter="0" w:footer="0" w:header="0"/>
          <w:type w:val="continuous"/>
        </w:sectPr>
      </w:pPr>
    </w:p>
    <w:p>
      <w:pPr>
        <w:spacing w:after="0" w:line="1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Werewolf Therapeutics, Inc., a Delaware corporation (the “Issuer”, which term includes any successor corporation), for value received promises to pay to [</w:t>
      </w:r>
      <w:r>
        <w:rPr>
          <w:rFonts w:ascii="Arial" w:cs="Arial" w:eastAsia="Arial" w:hAnsi="Arial"/>
          <w:sz w:val="16"/>
          <w:szCs w:val="16"/>
          <w:i w:val="1"/>
          <w:iCs w:val="1"/>
          <w:color w:val="auto"/>
        </w:rPr>
        <w:t>If the Security is a Global Security —</w:t>
      </w:r>
      <w:r>
        <w:rPr>
          <w:rFonts w:ascii="Arial" w:cs="Arial" w:eastAsia="Arial" w:hAnsi="Arial"/>
          <w:sz w:val="16"/>
          <w:szCs w:val="16"/>
          <w:color w:val="auto"/>
        </w:rPr>
        <w:t xml:space="preserve"> CEDE &amp; CO.][</w:t>
      </w:r>
      <w:r>
        <w:rPr>
          <w:rFonts w:ascii="Arial" w:cs="Arial" w:eastAsia="Arial" w:hAnsi="Arial"/>
          <w:sz w:val="16"/>
          <w:szCs w:val="16"/>
          <w:i w:val="1"/>
          <w:iCs w:val="1"/>
          <w:color w:val="auto"/>
        </w:rPr>
        <w:t>If the Security is not a Global Security — __________</w:t>
      </w:r>
      <w:r>
        <w:rPr>
          <w:rFonts w:ascii="Arial" w:cs="Arial" w:eastAsia="Arial" w:hAnsi="Arial"/>
          <w:sz w:val="16"/>
          <w:szCs w:val="16"/>
          <w:color w:val="auto"/>
        </w:rPr>
        <w:t>] or registered assigns, the principal</w:t>
      </w:r>
    </w:p>
    <w:p>
      <w:pPr>
        <w:spacing w:after="0"/>
        <w:rPr>
          <w:sz w:val="20"/>
          <w:szCs w:val="20"/>
          <w:color w:val="auto"/>
        </w:rPr>
      </w:pPr>
      <w:r>
        <w:rPr>
          <w:rFonts w:ascii="Arial" w:cs="Arial" w:eastAsia="Arial" w:hAnsi="Arial"/>
          <w:sz w:val="16"/>
          <w:szCs w:val="16"/>
          <w:color w:val="auto"/>
        </w:rPr>
        <w:t>sum of __________ on __________,____ (the “Maturity Date”) [</w:t>
      </w:r>
      <w:r>
        <w:rPr>
          <w:rFonts w:ascii="Arial" w:cs="Arial" w:eastAsia="Arial" w:hAnsi="Arial"/>
          <w:sz w:val="16"/>
          <w:szCs w:val="16"/>
          <w:i w:val="1"/>
          <w:iCs w:val="1"/>
          <w:color w:val="auto"/>
        </w:rPr>
        <w:t>If the Security is to bear interest prior to maturity, insert—</w:t>
      </w:r>
      <w:r>
        <w:rPr>
          <w:rFonts w:ascii="Arial" w:cs="Arial" w:eastAsia="Arial" w:hAnsi="Arial"/>
          <w:sz w:val="16"/>
          <w:szCs w:val="16"/>
          <w:color w:val="auto"/>
        </w:rPr>
        <w:t>, and to pay interest thereon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_____________ or from the most recent interest payment date to which interest has been paid or duly provided for, </w:t>
      </w:r>
      <w:r>
        <w:rPr>
          <w:rFonts w:ascii="Arial" w:cs="Arial" w:eastAsia="Arial" w:hAnsi="Arial"/>
          <w:sz w:val="16"/>
          <w:szCs w:val="16"/>
          <w:i w:val="1"/>
          <w:iCs w:val="1"/>
          <w:color w:val="auto"/>
        </w:rPr>
        <w:t>[semiannually in arrears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______ and ______ in each year</w:t>
      </w:r>
      <w:r>
        <w:rPr>
          <w:rFonts w:ascii="Arial" w:cs="Arial" w:eastAsia="Arial" w:hAnsi="Arial"/>
          <w:sz w:val="17"/>
          <w:szCs w:val="17"/>
          <w:color w:val="auto"/>
        </w:rPr>
        <w:t>], commencing _________, ____ (each, an “Interest Payment Date”) at the rate of [</w:t>
      </w:r>
      <w:r>
        <w:rPr>
          <w:rFonts w:ascii="Arial" w:cs="Arial" w:eastAsia="Arial" w:hAnsi="Arial"/>
          <w:sz w:val="17"/>
          <w:szCs w:val="17"/>
          <w:i w:val="1"/>
          <w:iCs w:val="1"/>
          <w:color w:val="auto"/>
        </w:rPr>
        <w:t>___% per annum</w:t>
      </w:r>
      <w:r>
        <w:rPr>
          <w:rFonts w:ascii="Arial" w:cs="Arial" w:eastAsia="Arial" w:hAnsi="Arial"/>
          <w:sz w:val="17"/>
          <w:szCs w:val="17"/>
          <w:color w:val="auto"/>
        </w:rPr>
        <w:t>], until the</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principal hereof is paid or made available for payment [</w:t>
      </w:r>
      <w:r>
        <w:rPr>
          <w:rFonts w:ascii="Arial" w:cs="Arial" w:eastAsia="Arial" w:hAnsi="Arial"/>
          <w:sz w:val="16"/>
          <w:szCs w:val="16"/>
          <w:i w:val="1"/>
          <w:iCs w:val="1"/>
          <w:color w:val="auto"/>
        </w:rPr>
        <w:t>If applicable insert—,</w:t>
      </w:r>
      <w:r>
        <w:rPr>
          <w:rFonts w:ascii="Arial" w:cs="Arial" w:eastAsia="Arial" w:hAnsi="Arial"/>
          <w:sz w:val="16"/>
          <w:szCs w:val="16"/>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 (whether or not a Business Day), as the case may be, next preceding such Interest Payment Date (each, an “Interest Record Date”).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type w:val="continuous"/>
        </w:sectPr>
      </w:pPr>
    </w:p>
    <w:bookmarkStart w:id="204" w:name="page205"/>
    <w:bookmarkEnd w:id="20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WEREWOLF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5715</wp:posOffset>
            </wp:positionV>
            <wp:extent cx="22885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tab/>
        <w: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 as Trustee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14605</wp:posOffset>
            </wp:positionV>
            <wp:extent cx="23056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205" w:name="page206"/>
    <w:bookmarkEnd w:id="20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WEREWOLF THERAPEUTICS, INC.</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 Title of Security ]</w:t>
      </w:r>
    </w:p>
    <w:p>
      <w:pPr>
        <w:spacing w:after="0" w:line="256" w:lineRule="exact"/>
        <w:rPr>
          <w:sz w:val="20"/>
          <w:szCs w:val="20"/>
          <w:color w:val="auto"/>
        </w:rPr>
      </w:pPr>
    </w:p>
    <w:p>
      <w:pPr>
        <w:ind w:left="424" w:hanging="424"/>
        <w:spacing w:after="0"/>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6"/>
          <w:szCs w:val="16"/>
          <w:i w:val="1"/>
          <w:iCs w:val="1"/>
          <w:color w:val="auto"/>
        </w:rPr>
        <w:t>$</w:t>
      </w:r>
      <w:r>
        <w:rPr>
          <w:rFonts w:ascii="Arial" w:cs="Arial" w:eastAsia="Arial" w:hAnsi="Arial"/>
          <w:sz w:val="16"/>
          <w:szCs w:val="16"/>
          <w:color w:val="auto"/>
        </w:rPr>
        <w:t>]____________, all of such Securities</w:t>
      </w:r>
    </w:p>
    <w:p>
      <w:pPr>
        <w:ind w:left="4"/>
        <w:spacing w:after="0"/>
        <w:rPr>
          <w:sz w:val="20"/>
          <w:szCs w:val="20"/>
          <w:color w:val="auto"/>
        </w:rPr>
      </w:pPr>
      <w:r>
        <w:rPr>
          <w:rFonts w:ascii="Arial" w:cs="Arial" w:eastAsia="Arial" w:hAnsi="Arial"/>
          <w:sz w:val="16"/>
          <w:szCs w:val="16"/>
          <w:color w:val="auto"/>
        </w:rPr>
        <w:t>issued and to be issued under an Indenture dated as of ________, _____ (the “Indenture”) between the Issuer and __________________________ as</w:t>
      </w:r>
    </w:p>
    <w:p>
      <w:pPr>
        <w:spacing w:after="0" w:line="32"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This Security is one of a series of Securities designated pursuant to the Indenture [and a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_____, _____,</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issued pursuant to Section 2.01 and Section 2.03 thereof (the “Supplemental Indenture”)] as ________________. The Securities are general unsecured</w:t>
      </w:r>
    </w:p>
    <w:p>
      <w:pPr>
        <w:spacing w:after="0" w:line="32"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obligations of the Issuer. The Issuer may, subject to the provisions of the Indenture and applicable law, issue additional Securities of any series under the Indenture.</w:t>
      </w:r>
    </w:p>
    <w:p>
      <w:pPr>
        <w:spacing w:after="0" w:line="334"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right="140" w:firstLine="991"/>
        <w:spacing w:after="0" w:line="284"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6"/>
          <w:szCs w:val="16"/>
          <w:i w:val="1"/>
          <w:iCs w:val="1"/>
          <w:color w:val="auto"/>
        </w:rPr>
        <w:t>the United States</w:t>
      </w:r>
      <w:r>
        <w:rPr>
          <w:rFonts w:ascii="Arial" w:cs="Arial" w:eastAsia="Arial" w:hAnsi="Arial"/>
          <w:sz w:val="16"/>
          <w:szCs w:val="16"/>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w:t>
      </w:r>
    </w:p>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 [</w:t>
      </w:r>
      <w:r>
        <w:rPr>
          <w:rFonts w:ascii="Arial" w:cs="Arial" w:eastAsia="Arial" w:hAnsi="Arial"/>
          <w:sz w:val="16"/>
          <w:szCs w:val="16"/>
          <w:i w:val="1"/>
          <w:iCs w:val="1"/>
          <w:color w:val="auto"/>
        </w:rPr>
        <w:t>a./p.m.</w:t>
      </w:r>
      <w:r>
        <w:rPr>
          <w:rFonts w:ascii="Arial" w:cs="Arial" w:eastAsia="Arial" w:hAnsi="Arial"/>
          <w:sz w:val="16"/>
          <w:szCs w:val="16"/>
          <w:color w:val="auto"/>
        </w:rPr>
        <w:t>], New York City time (or such other time as may be agreed to between the Issuer and the Paying Agent or the Issuer), directly to a</w:t>
      </w:r>
    </w:p>
    <w:p>
      <w:pPr>
        <w:spacing w:after="0" w:line="32"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41"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Securities of this series may be redeemed at any time</w:t>
      </w:r>
      <w:r>
        <w:rPr>
          <w:rFonts w:ascii="Arial" w:cs="Arial" w:eastAsia="Arial" w:hAnsi="Arial"/>
          <w:sz w:val="16"/>
          <w:szCs w:val="16"/>
          <w:color w:val="auto"/>
        </w:rPr>
        <w:t xml:space="preserve"> [</w:t>
      </w:r>
      <w:r>
        <w:rPr>
          <w:rFonts w:ascii="Arial" w:cs="Arial" w:eastAsia="Arial" w:hAnsi="Arial"/>
          <w:sz w:val="16"/>
          <w:szCs w:val="16"/>
          <w:i w:val="1"/>
          <w:iCs w:val="1"/>
          <w:color w:val="auto"/>
        </w:rPr>
        <w:t>on or after ______, ______</w:t>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 Issuer,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upon mailing notice of such redemption not less than 10 and not more than 60 days to the Holders of such Securities, at a redemption price equal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___________</w:t>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ectPr>
          <w:pgSz w:w="11900" w:h="16838" w:orient="portrait"/>
          <w:cols w:equalWidth="0" w:num="1">
            <w:col w:w="10984"/>
          </w:cols>
          <w:pgMar w:left="436" w:top="270" w:right="479" w:bottom="1440" w:gutter="0" w:footer="0" w:header="0"/>
        </w:sectPr>
      </w:pPr>
    </w:p>
    <w:bookmarkStart w:id="206" w:name="page207"/>
    <w:bookmarkEnd w:id="206"/>
    <w:p>
      <w:pPr>
        <w:ind w:left="424" w:hanging="424"/>
        <w:spacing w:after="0"/>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p>
    <w:p>
      <w:pPr>
        <w:spacing w:after="0" w:line="117"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w:t>
      </w:r>
      <w:r>
        <w:rPr>
          <w:rFonts w:ascii="Arial" w:cs="Arial" w:eastAsia="Arial" w:hAnsi="Arial"/>
          <w:sz w:val="17"/>
          <w:szCs w:val="17"/>
          <w:color w:val="auto"/>
        </w:rPr>
        <w:t xml:space="preserve"> </w:t>
      </w:r>
      <w:r>
        <w:rPr>
          <w:rFonts w:ascii="Arial" w:cs="Arial" w:eastAsia="Arial" w:hAnsi="Arial"/>
          <w:sz w:val="17"/>
          <w:szCs w:val="17"/>
          <w:i w:val="1"/>
          <w:iCs w:val="1"/>
          <w:color w:val="auto"/>
        </w:rPr>
        <w:t>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jc w:val="both"/>
        <w:ind w:left="4" w:right="40" w:firstLine="991"/>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15"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ectPr>
          <w:pgSz w:w="11900" w:h="16838" w:orient="portrait"/>
          <w:cols w:equalWidth="0" w:num="1">
            <w:col w:w="11004"/>
          </w:cols>
          <w:pgMar w:left="436" w:top="274" w:right="459" w:bottom="1440" w:gutter="0" w:footer="0" w:header="0"/>
        </w:sectPr>
      </w:pPr>
    </w:p>
    <w:bookmarkStart w:id="207" w:name="page208"/>
    <w:bookmarkEnd w:id="207"/>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Dealings with Issuer.</w:t>
      </w:r>
    </w:p>
    <w:p>
      <w:pPr>
        <w:spacing w:after="0" w:line="117"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220" w:firstLine="99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irrevocably appoint ______________________________________________ agent to transfer this Security on the books of the Issuer.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agent may substitute another to act for him.</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45"/>
        </w:trPr>
        <w:tc>
          <w:tcPr>
            <w:tcW w:w="4940" w:type="dxa"/>
            <w:vAlign w:val="bottom"/>
            <w:gridSpan w:val="2"/>
          </w:tcPr>
          <w:p>
            <w:pPr>
              <w:spacing w:after="0"/>
              <w:rPr>
                <w:sz w:val="20"/>
                <w:szCs w:val="20"/>
                <w:color w:val="auto"/>
              </w:rPr>
            </w:pPr>
            <w:r>
              <w:rPr>
                <w:rFonts w:ascii="Arial" w:cs="Arial" w:eastAsia="Arial" w:hAnsi="Arial"/>
                <w:sz w:val="18"/>
                <w:szCs w:val="18"/>
                <w:color w:val="auto"/>
              </w:rPr>
              <w:t>Dated:</w:t>
            </w:r>
          </w:p>
        </w:tc>
        <w:tc>
          <w:tcPr>
            <w:tcW w:w="6080" w:type="dxa"/>
            <w:vAlign w:val="bottom"/>
            <w:gridSpan w:val="2"/>
          </w:tcPr>
          <w:p>
            <w:pPr>
              <w:ind w:left="920"/>
              <w:spacing w:after="0"/>
              <w:rPr>
                <w:sz w:val="20"/>
                <w:szCs w:val="20"/>
                <w:color w:val="auto"/>
              </w:rPr>
            </w:pPr>
            <w:r>
              <w:rPr>
                <w:rFonts w:ascii="Arial" w:cs="Arial" w:eastAsia="Arial" w:hAnsi="Arial"/>
                <w:sz w:val="18"/>
                <w:szCs w:val="18"/>
                <w:color w:val="auto"/>
              </w:rPr>
              <w:t>Signed:</w:t>
            </w:r>
          </w:p>
        </w:tc>
      </w:tr>
      <w:tr>
        <w:trPr>
          <w:trHeight w:val="209"/>
        </w:trPr>
        <w:tc>
          <w:tcPr>
            <w:tcW w:w="82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(Signed exactly as name appears on the other side of this</w:t>
            </w:r>
          </w:p>
        </w:tc>
      </w:tr>
      <w:tr>
        <w:trPr>
          <w:trHeight w:val="230"/>
        </w:trPr>
        <w:tc>
          <w:tcPr>
            <w:tcW w:w="8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-19050</wp:posOffset>
            </wp:positionV>
            <wp:extent cx="16281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ind w:left="1000" w:right="300"/>
        <w:spacing w:after="0" w:line="260"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Subordinated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 PURPOSES OF SECTIONS 1272, 1273 AND 1275 OF THE INTERNAL REVENUE CODE OF 1986, AS AMENDED, AND THE RULES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THEREUNDER, THIS NOTE IS BEING ISSUED WITH ORIGINAL ISSUE DISCOUNT; PLEASE CONTACT TIMOTHY W. TROST, CHIEF FINANCIAL OFFICER AND TREASURER, WEREWOLF THERAPEUTICS, INC., 1030 MASSACHUSETTS AVENUE, SUITE 210, CAMBRIDGE, MA 02138, TELEPHONE: (617) 952-0555, TO OBTAIN INFORMATION REGARDING THE ISSUE PRICE, THE ISSUE DATE, THE AMOUNT OF ORIGINAL ISSUE DISCOUNT AND THE YIELD TO MATURITY.</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WEREWOLF THERAPEUTICS, INC.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Title of Security ]</w:t>
      </w:r>
    </w:p>
    <w:p>
      <w:pPr>
        <w:sectPr>
          <w:pgSz w:w="11900" w:h="16838" w:orient="portrait"/>
          <w:cols w:equalWidth="0" w:num="1">
            <w:col w:w="11020"/>
          </w:cols>
          <w:pgMar w:left="440" w:top="274"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[Common Code][ISIN]: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60" w:space="180"/>
            <w:col w:w="7680" w:space="720"/>
            <w:col w:w="1840" w:space="20"/>
            <w:col w:w="220"/>
          </w:cols>
          <w:pgMar w:left="440" w:top="274" w:right="439" w:bottom="1440" w:gutter="0" w:footer="0" w:header="0"/>
          <w:type w:val="continuous"/>
        </w:sectPr>
      </w:pPr>
    </w:p>
    <w:p>
      <w:pPr>
        <w:spacing w:after="0" w:line="1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Werewolf Therapeutics, Inc., a Delaware corporation (the “Issuer”, which term includes any successor corporation), for value received promises to pay to [</w:t>
      </w:r>
      <w:r>
        <w:rPr>
          <w:rFonts w:ascii="Arial" w:cs="Arial" w:eastAsia="Arial" w:hAnsi="Arial"/>
          <w:sz w:val="16"/>
          <w:szCs w:val="16"/>
          <w:i w:val="1"/>
          <w:iCs w:val="1"/>
          <w:color w:val="auto"/>
        </w:rPr>
        <w:t>If the Security is a Global Security —</w:t>
      </w:r>
      <w:r>
        <w:rPr>
          <w:rFonts w:ascii="Arial" w:cs="Arial" w:eastAsia="Arial" w:hAnsi="Arial"/>
          <w:sz w:val="16"/>
          <w:szCs w:val="16"/>
          <w:color w:val="auto"/>
        </w:rPr>
        <w:t xml:space="preserve"> CEDE &amp; CO.][</w:t>
      </w:r>
      <w:r>
        <w:rPr>
          <w:rFonts w:ascii="Arial" w:cs="Arial" w:eastAsia="Arial" w:hAnsi="Arial"/>
          <w:sz w:val="16"/>
          <w:szCs w:val="16"/>
          <w:i w:val="1"/>
          <w:iCs w:val="1"/>
          <w:color w:val="auto"/>
        </w:rPr>
        <w:t>If the Security is not a Global Security — __________</w:t>
      </w:r>
      <w:r>
        <w:rPr>
          <w:rFonts w:ascii="Arial" w:cs="Arial" w:eastAsia="Arial" w:hAnsi="Arial"/>
          <w:sz w:val="16"/>
          <w:szCs w:val="16"/>
          <w:color w:val="auto"/>
        </w:rPr>
        <w:t>] or registered assigns, the principal</w:t>
      </w:r>
    </w:p>
    <w:p>
      <w:pPr>
        <w:spacing w:after="0"/>
        <w:rPr>
          <w:sz w:val="20"/>
          <w:szCs w:val="20"/>
          <w:color w:val="auto"/>
        </w:rPr>
      </w:pPr>
      <w:r>
        <w:rPr>
          <w:rFonts w:ascii="Arial" w:cs="Arial" w:eastAsia="Arial" w:hAnsi="Arial"/>
          <w:sz w:val="16"/>
          <w:szCs w:val="16"/>
          <w:color w:val="auto"/>
        </w:rPr>
        <w:t>sum of __________ on __________,____ (the “Maturity Date”) [</w:t>
      </w:r>
      <w:r>
        <w:rPr>
          <w:rFonts w:ascii="Arial" w:cs="Arial" w:eastAsia="Arial" w:hAnsi="Arial"/>
          <w:sz w:val="16"/>
          <w:szCs w:val="16"/>
          <w:i w:val="1"/>
          <w:iCs w:val="1"/>
          <w:color w:val="auto"/>
        </w:rPr>
        <w:t>If the Security is to bear interest prior to maturity, insert—</w:t>
      </w:r>
      <w:r>
        <w:rPr>
          <w:rFonts w:ascii="Arial" w:cs="Arial" w:eastAsia="Arial" w:hAnsi="Arial"/>
          <w:sz w:val="16"/>
          <w:szCs w:val="16"/>
          <w:color w:val="auto"/>
        </w:rPr>
        <w:t>, and to pay interest thereon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_____________ or from the most recent interest payment date to which interest has been paid or duly provided for, </w:t>
      </w:r>
      <w:r>
        <w:rPr>
          <w:rFonts w:ascii="Arial" w:cs="Arial" w:eastAsia="Arial" w:hAnsi="Arial"/>
          <w:sz w:val="16"/>
          <w:szCs w:val="16"/>
          <w:i w:val="1"/>
          <w:iCs w:val="1"/>
          <w:color w:val="auto"/>
        </w:rPr>
        <w:t>[semiannually in arrears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______ and ______ in each year</w:t>
      </w:r>
      <w:r>
        <w:rPr>
          <w:rFonts w:ascii="Arial" w:cs="Arial" w:eastAsia="Arial" w:hAnsi="Arial"/>
          <w:sz w:val="17"/>
          <w:szCs w:val="17"/>
          <w:color w:val="auto"/>
        </w:rPr>
        <w:t>], commencing _________, ____ (each, an “Interest Payment Date”) at the rate of [</w:t>
      </w:r>
      <w:r>
        <w:rPr>
          <w:rFonts w:ascii="Arial" w:cs="Arial" w:eastAsia="Arial" w:hAnsi="Arial"/>
          <w:sz w:val="17"/>
          <w:szCs w:val="17"/>
          <w:i w:val="1"/>
          <w:iCs w:val="1"/>
          <w:color w:val="auto"/>
        </w:rPr>
        <w:t>___% per annum</w:t>
      </w:r>
      <w:r>
        <w:rPr>
          <w:rFonts w:ascii="Arial" w:cs="Arial" w:eastAsia="Arial" w:hAnsi="Arial"/>
          <w:sz w:val="17"/>
          <w:szCs w:val="17"/>
          <w:color w:val="auto"/>
        </w:rPr>
        <w:t>], until the</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principal hereof is paid or made available for payment [</w:t>
      </w:r>
      <w:r>
        <w:rPr>
          <w:rFonts w:ascii="Arial" w:cs="Arial" w:eastAsia="Arial" w:hAnsi="Arial"/>
          <w:sz w:val="16"/>
          <w:szCs w:val="16"/>
          <w:i w:val="1"/>
          <w:iCs w:val="1"/>
          <w:color w:val="auto"/>
        </w:rPr>
        <w:t>If applicable insert—,</w:t>
      </w:r>
      <w:r>
        <w:rPr>
          <w:rFonts w:ascii="Arial" w:cs="Arial" w:eastAsia="Arial" w:hAnsi="Arial"/>
          <w:sz w:val="16"/>
          <w:szCs w:val="16"/>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 (whether or not a Business Day), as the case may be, next preceding such Interest Payment Date (each, an “Interest Record Date”).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type w:val="continuous"/>
        </w:sectPr>
      </w:pPr>
    </w:p>
    <w:bookmarkStart w:id="211" w:name="page212"/>
    <w:bookmarkEnd w:id="21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WEREWOLF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tab/>
        <w: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as Trustee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212" w:name="page213"/>
    <w:bookmarkEnd w:id="21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WEREWOLF THERAPEUTICS, INC.</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 Title of Security ]</w:t>
      </w:r>
    </w:p>
    <w:p>
      <w:pPr>
        <w:spacing w:after="0" w:line="256"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6"/>
          <w:szCs w:val="16"/>
          <w:i w:val="1"/>
          <w:iCs w:val="1"/>
          <w:color w:val="auto"/>
        </w:rPr>
        <w:t>$</w:t>
      </w:r>
      <w:r>
        <w:rPr>
          <w:rFonts w:ascii="Arial" w:cs="Arial" w:eastAsia="Arial" w:hAnsi="Arial"/>
          <w:sz w:val="16"/>
          <w:szCs w:val="16"/>
          <w:color w:val="auto"/>
        </w:rPr>
        <w:t>]____________, all of such Securities</w:t>
      </w:r>
    </w:p>
    <w:p>
      <w:pPr>
        <w:ind w:left="4"/>
        <w:spacing w:after="0"/>
        <w:rPr>
          <w:sz w:val="20"/>
          <w:szCs w:val="20"/>
          <w:color w:val="auto"/>
        </w:rPr>
      </w:pPr>
      <w:r>
        <w:rPr>
          <w:rFonts w:ascii="Arial" w:cs="Arial" w:eastAsia="Arial" w:hAnsi="Arial"/>
          <w:sz w:val="16"/>
          <w:szCs w:val="16"/>
          <w:color w:val="auto"/>
        </w:rPr>
        <w:t>issued and to be issued under an Indenture dated as of ________, _____ (the “Indenture”) between the Issuer and __________________________ as</w:t>
      </w:r>
    </w:p>
    <w:p>
      <w:pPr>
        <w:spacing w:after="0" w:line="32"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This Security is one of a series of Securities designated pursuant to the Indenture [and a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_____, _____,</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issued pursuant to Section 2.01 and Section 2.03 thereof (the “Supplemental Indenture”)] as ________________. The Securities are general unsecured</w:t>
      </w:r>
    </w:p>
    <w:p>
      <w:pPr>
        <w:spacing w:after="0" w:line="32"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obligations of the Issuer. The Issuer may, subject to the provisions of the Indenture and applicable law, issue additional Securities of any series under the Indenture.</w:t>
      </w:r>
    </w:p>
    <w:p>
      <w:pPr>
        <w:spacing w:after="0" w:line="334" w:lineRule="exact"/>
        <w:rPr>
          <w:sz w:val="20"/>
          <w:szCs w:val="20"/>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right="140" w:firstLine="991"/>
        <w:spacing w:after="0" w:line="284"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6"/>
          <w:szCs w:val="16"/>
          <w:i w:val="1"/>
          <w:iCs w:val="1"/>
          <w:color w:val="auto"/>
        </w:rPr>
        <w:t>the United States</w:t>
      </w:r>
      <w:r>
        <w:rPr>
          <w:rFonts w:ascii="Arial" w:cs="Arial" w:eastAsia="Arial" w:hAnsi="Arial"/>
          <w:sz w:val="16"/>
          <w:szCs w:val="16"/>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w:t>
      </w:r>
    </w:p>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 [</w:t>
      </w:r>
      <w:r>
        <w:rPr>
          <w:rFonts w:ascii="Arial" w:cs="Arial" w:eastAsia="Arial" w:hAnsi="Arial"/>
          <w:sz w:val="16"/>
          <w:szCs w:val="16"/>
          <w:i w:val="1"/>
          <w:iCs w:val="1"/>
          <w:color w:val="auto"/>
        </w:rPr>
        <w:t>a./p.m.</w:t>
      </w:r>
      <w:r>
        <w:rPr>
          <w:rFonts w:ascii="Arial" w:cs="Arial" w:eastAsia="Arial" w:hAnsi="Arial"/>
          <w:sz w:val="16"/>
          <w:szCs w:val="16"/>
          <w:color w:val="auto"/>
        </w:rPr>
        <w:t>], New York City time (or such other time as may be agreed to between the Issuer and the Paying Agent or the Issuer), directly to a</w:t>
      </w:r>
    </w:p>
    <w:p>
      <w:pPr>
        <w:spacing w:after="0" w:line="32"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41"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Securities of this series may be redeemed at any time</w:t>
      </w:r>
      <w:r>
        <w:rPr>
          <w:rFonts w:ascii="Arial" w:cs="Arial" w:eastAsia="Arial" w:hAnsi="Arial"/>
          <w:sz w:val="16"/>
          <w:szCs w:val="16"/>
          <w:color w:val="auto"/>
        </w:rPr>
        <w:t xml:space="preserve"> [</w:t>
      </w:r>
      <w:r>
        <w:rPr>
          <w:rFonts w:ascii="Arial" w:cs="Arial" w:eastAsia="Arial" w:hAnsi="Arial"/>
          <w:sz w:val="16"/>
          <w:szCs w:val="16"/>
          <w:i w:val="1"/>
          <w:iCs w:val="1"/>
          <w:color w:val="auto"/>
        </w:rPr>
        <w:t>on or after ______, ______</w:t>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 Issuer,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upon mailing notice of such redemption not less than 10 and not more than 60 days to the Holders of such Securities, at a redemption price equal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___________</w:t>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ectPr>
          <w:pgSz w:w="11900" w:h="16838" w:orient="portrait"/>
          <w:cols w:equalWidth="0" w:num="1">
            <w:col w:w="10984"/>
          </w:cols>
          <w:pgMar w:left="436" w:top="270" w:right="479" w:bottom="1440" w:gutter="0" w:footer="0" w:header="0"/>
        </w:sectPr>
      </w:pPr>
    </w:p>
    <w:bookmarkStart w:id="213" w:name="page214"/>
    <w:bookmarkEnd w:id="213"/>
    <w:p>
      <w:pPr>
        <w:ind w:left="424" w:hanging="424"/>
        <w:spacing w:after="0"/>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p>
    <w:p>
      <w:pPr>
        <w:spacing w:after="0" w:line="117"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w:t>
      </w:r>
      <w:r>
        <w:rPr>
          <w:rFonts w:ascii="Arial" w:cs="Arial" w:eastAsia="Arial" w:hAnsi="Arial"/>
          <w:sz w:val="17"/>
          <w:szCs w:val="17"/>
          <w:color w:val="auto"/>
        </w:rPr>
        <w:t xml:space="preserve"> </w:t>
      </w:r>
      <w:r>
        <w:rPr>
          <w:rFonts w:ascii="Arial" w:cs="Arial" w:eastAsia="Arial" w:hAnsi="Arial"/>
          <w:sz w:val="17"/>
          <w:szCs w:val="17"/>
          <w:i w:val="1"/>
          <w:iCs w:val="1"/>
          <w:color w:val="auto"/>
        </w:rPr>
        <w:t>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424" w:hanging="424"/>
        <w:spacing w:after="0"/>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jc w:val="both"/>
        <w:ind w:left="4" w:right="40" w:firstLine="991"/>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15" w:lineRule="exact"/>
        <w:rPr>
          <w:sz w:val="20"/>
          <w:szCs w:val="20"/>
          <w:color w:val="auto"/>
        </w:rPr>
      </w:pPr>
    </w:p>
    <w:p>
      <w:pPr>
        <w:ind w:left="424" w:hanging="424"/>
        <w:spacing w:after="0"/>
        <w:tabs>
          <w:tab w:leader="none" w:pos="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ectPr>
          <w:pgSz w:w="11900" w:h="16838" w:orient="portrait"/>
          <w:cols w:equalWidth="0" w:num="1">
            <w:col w:w="11004"/>
          </w:cols>
          <w:pgMar w:left="436" w:top="274" w:right="459" w:bottom="1440" w:gutter="0" w:footer="0" w:header="0"/>
        </w:sectPr>
      </w:pPr>
    </w:p>
    <w:bookmarkStart w:id="214" w:name="page215"/>
    <w:bookmarkEnd w:id="214"/>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Subordination.</w:t>
      </w:r>
    </w:p>
    <w:p>
      <w:pPr>
        <w:spacing w:after="0" w:line="117"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332" w:lineRule="exact"/>
        <w:rPr>
          <w:sz w:val="20"/>
          <w:szCs w:val="20"/>
          <w:color w:val="auto"/>
        </w:rPr>
      </w:pPr>
    </w:p>
    <w:p>
      <w:pPr>
        <w:ind w:left="424" w:hanging="424"/>
        <w:spacing w:after="0"/>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424" w:hanging="424"/>
        <w:spacing w:after="0"/>
        <w:tabs>
          <w:tab w:leader="none" w:pos="4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220" w:firstLine="99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irrevocably appoint ______________________________________________agent to transfer this Security on the books of the Issuer.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agent may substitute another to act for him.</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45"/>
        </w:trPr>
        <w:tc>
          <w:tcPr>
            <w:tcW w:w="4940" w:type="dxa"/>
            <w:vAlign w:val="bottom"/>
            <w:gridSpan w:val="2"/>
          </w:tcPr>
          <w:p>
            <w:pPr>
              <w:spacing w:after="0"/>
              <w:rPr>
                <w:sz w:val="20"/>
                <w:szCs w:val="20"/>
                <w:color w:val="auto"/>
              </w:rPr>
            </w:pPr>
            <w:r>
              <w:rPr>
                <w:rFonts w:ascii="Arial" w:cs="Arial" w:eastAsia="Arial" w:hAnsi="Arial"/>
                <w:sz w:val="18"/>
                <w:szCs w:val="18"/>
                <w:color w:val="auto"/>
              </w:rPr>
              <w:t>Dated:</w:t>
            </w:r>
          </w:p>
        </w:tc>
        <w:tc>
          <w:tcPr>
            <w:tcW w:w="6080" w:type="dxa"/>
            <w:vAlign w:val="bottom"/>
            <w:gridSpan w:val="2"/>
          </w:tcPr>
          <w:p>
            <w:pPr>
              <w:ind w:left="920"/>
              <w:spacing w:after="0"/>
              <w:rPr>
                <w:sz w:val="20"/>
                <w:szCs w:val="20"/>
                <w:color w:val="auto"/>
              </w:rPr>
            </w:pPr>
            <w:r>
              <w:rPr>
                <w:rFonts w:ascii="Arial" w:cs="Arial" w:eastAsia="Arial" w:hAnsi="Arial"/>
                <w:sz w:val="18"/>
                <w:szCs w:val="18"/>
                <w:color w:val="auto"/>
              </w:rPr>
              <w:t>Signed:</w:t>
            </w:r>
          </w:p>
        </w:tc>
      </w:tr>
      <w:tr>
        <w:trPr>
          <w:trHeight w:val="209"/>
        </w:trPr>
        <w:tc>
          <w:tcPr>
            <w:tcW w:w="64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(Signed exactly as name appears on the other side of this</w:t>
            </w:r>
          </w:p>
        </w:tc>
      </w:tr>
      <w:tr>
        <w:trPr>
          <w:trHeight w:val="230"/>
        </w:trPr>
        <w:tc>
          <w:tcPr>
            <w:tcW w:w="6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-19050</wp:posOffset>
            </wp:positionV>
            <wp:extent cx="16281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ind w:left="1000" w:right="300"/>
        <w:spacing w:after="0" w:line="260"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171450</wp:posOffset>
            </wp:positionV>
            <wp:extent cx="1423035" cy="2146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14230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May 10, 2022</w:t>
            </w:r>
          </w:p>
        </w:tc>
        <w:tc>
          <w:tcPr>
            <w:tcW w:w="48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Werewolf Therapeutics, Inc.</w:t>
            </w:r>
          </w:p>
        </w:tc>
        <w:tc>
          <w:tcPr>
            <w:tcW w:w="484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1030 Massachusetts Avenue, Suite 210</w:t>
            </w:r>
          </w:p>
        </w:tc>
        <w:tc>
          <w:tcPr>
            <w:tcW w:w="484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Cambridge, MA 02138</w:t>
            </w:r>
          </w:p>
        </w:tc>
        <w:tc>
          <w:tcPr>
            <w:tcW w:w="4840" w:type="dxa"/>
            <w:vAlign w:val="bottom"/>
          </w:tcPr>
          <w:p>
            <w:pPr>
              <w:jc w:val="right"/>
              <w:spacing w:after="0"/>
              <w:rPr>
                <w:sz w:val="20"/>
                <w:szCs w:val="20"/>
                <w:color w:val="auto"/>
              </w:rPr>
            </w:pPr>
            <w:r>
              <w:rPr>
                <w:rFonts w:ascii="Arial" w:cs="Arial" w:eastAsia="Arial" w:hAnsi="Arial"/>
                <w:sz w:val="18"/>
                <w:szCs w:val="18"/>
                <w:color w:val="auto"/>
              </w:rPr>
              <w:t>wilmerhale.com</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to be filed by Werewolf Therapeutics,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71" w:lineRule="exact"/>
        <w:rPr>
          <w:sz w:val="20"/>
          <w:szCs w:val="20"/>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senior debt securities (“Senior Debt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subordinated debt securities (“Subordinated Debt Securities” and, together with the Senior Debt Securities, “Debt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preferred stock, par value $0.0001 per share (“Preferred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depositary shares representing fractional interests in a share or multiple shares of Preferred Stock (“Depositary Shares”);</w:t>
      </w:r>
    </w:p>
    <w:p>
      <w:pPr>
        <w:spacing w:after="0" w:line="130"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subscription rights representing rights to purchase Common Stock, Preferred Stock, Debt Securities or other securities (“Subscription Rights”);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warrants to purchase Debt Securities, Common Stock, Preferred Stock or Depositary Shares (“Warrants”); and</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units, consisting of one or more securities, including Common Stock, Preferred Stock, Debt Securities, Depositary Shares, Warrants or any other securities (“Units”),</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all of which may be issued from time to time on a delayed or continuous basis pursuant to Rule 415 under the Securities Act with an aggregate offering price of up to $150,000,000, as set forth in the Registration Statement, the base prospectus contained therein (the “Prospectus”) and any amendments or supplements thereto.</w:t>
      </w:r>
    </w:p>
    <w:p>
      <w:pPr>
        <w:spacing w:after="0" w:line="184"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We are acting as counsel for the Company in connection with the filing of the Registration Statement. The Senior Debt Securities may be issued pursuant to a senior indenture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shares of Preferred Stock represented by Depositary Shares will be deposited pursuant to a Depositary Agreement (the “Depositary Agreement”) to be entered into between the Company and a bank or trust company to be named, as depositary. The Units may be issued pursuant to a Unit Agreement (the “Unit Agreement”) to be entered into between the Company and a bank or trust company to be named, as unit agent. The Subscription Rights may be issued pursuant to a subscription rights certificate or subscription rights agreement (the “Subscription Rights Agreement”) to be entered into between the Company and a bank or trust company to be named, as subscription agent. The Warrants may be issued pursuant to a warrant agreement (the “Warrant Agreement”) to be entered into between the Company and a bank or trust company to be named, as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136525</wp:posOffset>
            </wp:positionV>
            <wp:extent cx="6086475" cy="291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086475" cy="29146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17" w:name="page218"/>
    <w:bookmarkEnd w:id="217"/>
    <w:p>
      <w:pPr>
        <w:ind w:left="4" w:right="3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183515</wp:posOffset>
            </wp:positionV>
            <wp:extent cx="1423035" cy="2146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14630"/>
                    </a:xfrm>
                    <a:prstGeom prst="rect">
                      <a:avLst/>
                    </a:prstGeom>
                    <a:noFill/>
                  </pic:spPr>
                </pic:pic>
              </a:graphicData>
            </a:graphic>
          </wp:anchor>
        </w:drawing>
        <w:t>We are also acting as counsel for the Company in connection with the sales agreement prospectus included in the Registration Statement (the “Sales Agreement Prospectus”) relating to the issuance and sale of shares of Common Stock having an aggregate offering price of up to $50,000,000 (the “Sales Agreement Shares”) under a Sales Agreement, dated May 10, 2022, between the Company and SVB Securities LLC, as agent (the “Sales Agreement”).</w:t>
      </w:r>
    </w:p>
    <w:p>
      <w:pPr>
        <w:spacing w:after="0" w:line="18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We have examined and relied upon signed copies of the Registration Statement to be filed with the Commission, including the exhibits thereto. We have also examined and relied upon the Sales Agreement, the Restated Certificate of Incorporation of the Company (as amended or restated from time to time, the “Certificate of Incorporation”), the Amended and Restated Bylaws of the Company (as amended or restated from time to time, the “Bylaws”) and minutes of meetings of the stockholders and the Board of Directors of the Company (the “Board”) including duly authorized committees thereof as provided to us by the Company, and such other documents as we have deemed necessary for purposes of rendering the opinions set forth hereinafter.</w:t>
      </w:r>
    </w:p>
    <w:p>
      <w:pPr>
        <w:spacing w:after="0" w:line="161" w:lineRule="exact"/>
        <w:rPr>
          <w:sz w:val="20"/>
          <w:szCs w:val="20"/>
          <w:color w:val="auto"/>
        </w:rPr>
      </w:pPr>
    </w:p>
    <w:p>
      <w:pPr>
        <w:ind w:left="4" w:right="560" w:firstLine="440"/>
        <w:spacing w:after="0" w:line="311"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49" w:lineRule="exact"/>
        <w:rPr>
          <w:sz w:val="20"/>
          <w:szCs w:val="20"/>
          <w:color w:val="auto"/>
        </w:rPr>
      </w:pPr>
    </w:p>
    <w:p>
      <w:pPr>
        <w:ind w:left="4" w:right="140" w:firstLine="440"/>
        <w:spacing w:after="0" w:line="284" w:lineRule="auto"/>
        <w:rPr>
          <w:sz w:val="20"/>
          <w:szCs w:val="20"/>
          <w:color w:val="auto"/>
        </w:rPr>
      </w:pPr>
      <w:r>
        <w:rPr>
          <w:rFonts w:ascii="Arial" w:cs="Arial" w:eastAsia="Arial" w:hAnsi="Arial"/>
          <w:sz w:val="16"/>
          <w:szCs w:val="16"/>
          <w:color w:val="auto"/>
        </w:rPr>
        <w:t>We have relied as to certain matters on information obtained from public officials and officers of the Company, and we have assumed that (i) the Registration Statement will be effective and will comply with all applicable laws at the time Securities are offered or issued as contemplated by the Registration Statement; (ii) other than for the Sales Agreement Shares,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the Sales Agreement Prospectus, if applicable, and any applicable prospectus supplement; (iv) in the case of Debt Securities, (a) the applicable Indenture will be duly authorized, executed and delivered by the applicable Trustee in substantially the form filed as Exhibit 4.4 or Exhibit 4.5 to the Registration Statement, (b) the applicable Trustee will be duly eligible to serve as trustee, and (c) the Debt Securities will be duly authenticated by the Trustee named in the applicable Indenture;</w:t>
      </w:r>
    </w:p>
    <w:p>
      <w:pPr>
        <w:spacing w:after="0" w:line="1" w:lineRule="exact"/>
        <w:rPr>
          <w:sz w:val="20"/>
          <w:szCs w:val="20"/>
          <w:color w:val="auto"/>
        </w:rPr>
      </w:pPr>
    </w:p>
    <w:p>
      <w:pPr>
        <w:ind w:left="4" w:right="60" w:hanging="4"/>
        <w:spacing w:after="0" w:line="281" w:lineRule="auto"/>
        <w:tabs>
          <w:tab w:leader="none" w:pos="25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Depositary Agreement, Subscription Rights Agreement, Unit Agreement or Warrant Agreement, as applicable, will be duly authorized, executed and delivered by all parties thereto other than the Company; (vi) other than for the Sales Agreement Shares, a definitive purchase, underwriting or similar agreement with respect to any Securities offered will be duly authorized, executed and delivered by all parties thereto other than the Company;</w:t>
      </w:r>
    </w:p>
    <w:p>
      <w:pPr>
        <w:spacing w:after="0" w:line="1" w:lineRule="exact"/>
        <w:rPr>
          <w:rFonts w:ascii="Arial" w:cs="Arial" w:eastAsia="Arial" w:hAnsi="Arial"/>
          <w:sz w:val="16"/>
          <w:szCs w:val="16"/>
          <w:color w:val="auto"/>
        </w:rPr>
      </w:pPr>
    </w:p>
    <w:p>
      <w:pPr>
        <w:ind w:left="4" w:right="180" w:hanging="4"/>
        <w:spacing w:after="0" w:line="281" w:lineRule="auto"/>
        <w:tabs>
          <w:tab w:leader="none" w:pos="35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w:t>
      </w:r>
    </w:p>
    <w:p>
      <w:pPr>
        <w:spacing w:after="0" w:line="1" w:lineRule="exact"/>
        <w:rPr>
          <w:rFonts w:ascii="Arial" w:cs="Arial" w:eastAsia="Arial" w:hAnsi="Arial"/>
          <w:sz w:val="16"/>
          <w:szCs w:val="16"/>
          <w:color w:val="auto"/>
        </w:rPr>
      </w:pPr>
    </w:p>
    <w:p>
      <w:pPr>
        <w:ind w:left="4" w:right="80" w:hanging="4"/>
        <w:spacing w:after="0" w:line="253" w:lineRule="auto"/>
        <w:tabs>
          <w:tab w:leader="none" w:pos="30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issued in 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Subscription Rights Agreement, Unit Agreement or Warrant Agreement will be governed by the laws of the State of New York or Delaware.</w:t>
      </w:r>
    </w:p>
    <w:p>
      <w:pPr>
        <w:spacing w:after="0" w:line="193"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144780</wp:posOffset>
            </wp:positionV>
            <wp:extent cx="6086475" cy="291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086475" cy="291465"/>
                    </a:xfrm>
                    <a:prstGeom prst="rect">
                      <a:avLst/>
                    </a:prstGeom>
                    <a:noFill/>
                  </pic:spPr>
                </pic:pic>
              </a:graphicData>
            </a:graphic>
          </wp:anchor>
        </w:drawing>
      </w:r>
    </w:p>
    <w:p>
      <w:pPr>
        <w:sectPr>
          <w:pgSz w:w="11900" w:h="16838" w:orient="portrait"/>
          <w:cols w:equalWidth="0" w:num="1">
            <w:col w:w="11024"/>
          </w:cols>
          <w:pgMar w:left="436" w:top="827" w:right="439" w:bottom="1440" w:gutter="0" w:footer="0" w:header="0"/>
        </w:sectPr>
      </w:pPr>
    </w:p>
    <w:bookmarkStart w:id="218" w:name="page219"/>
    <w:bookmarkEnd w:id="218"/>
    <w:p>
      <w:pPr>
        <w:ind w:right="6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183515</wp:posOffset>
            </wp:positionV>
            <wp:extent cx="1423035" cy="214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14630"/>
                    </a:xfrm>
                    <a:prstGeom prst="rect">
                      <a:avLst/>
                    </a:prstGeom>
                    <a:noFill/>
                  </pic:spPr>
                </pic:pic>
              </a:graphicData>
            </a:graphic>
          </wp:anchor>
        </w:drawing>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(or any committee of the Board or any person acting pursuant to authority properly delegated to such person by the Board or any committee of such Board) shall not have taken any action to rescind or otherwise reduce its prior authorization of the issuance of such Securities.</w:t>
      </w:r>
    </w:p>
    <w:p>
      <w:pPr>
        <w:spacing w:after="0" w:line="17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7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17" w:lineRule="exact"/>
        <w:rPr>
          <w:sz w:val="20"/>
          <w:szCs w:val="20"/>
          <w:color w:val="auto"/>
        </w:rPr>
      </w:pPr>
    </w:p>
    <w:p>
      <w:pPr>
        <w:ind w:firstLine="436"/>
        <w:spacing w:after="0" w:line="288" w:lineRule="auto"/>
        <w:tabs>
          <w:tab w:leader="none" w:pos="6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proper action of the Board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132715</wp:posOffset>
            </wp:positionV>
            <wp:extent cx="6086475" cy="291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6086475" cy="291465"/>
                    </a:xfrm>
                    <a:prstGeom prst="rect">
                      <a:avLst/>
                    </a:prstGeom>
                    <a:noFill/>
                  </pic:spPr>
                </pic:pic>
              </a:graphicData>
            </a:graphic>
          </wp:anchor>
        </w:drawing>
      </w:r>
    </w:p>
    <w:p>
      <w:pPr>
        <w:sectPr>
          <w:pgSz w:w="11900" w:h="16838" w:orient="portrait"/>
          <w:cols w:equalWidth="0" w:num="1">
            <w:col w:w="11000"/>
          </w:cols>
          <w:pgMar w:left="440" w:top="827" w:right="459" w:bottom="1440" w:gutter="0" w:footer="0" w:header="0"/>
        </w:sectPr>
      </w:pPr>
    </w:p>
    <w:bookmarkStart w:id="219" w:name="page220"/>
    <w:bookmarkEnd w:id="219"/>
    <w:p>
      <w:pPr>
        <w:ind w:left="-436" w:right="80" w:firstLine="436"/>
        <w:spacing w:after="0" w:line="254" w:lineRule="auto"/>
        <w:tabs>
          <w:tab w:leader="none" w:pos="184"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183515</wp:posOffset>
            </wp:positionV>
            <wp:extent cx="1423035" cy="2146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14630"/>
                    </a:xfrm>
                    <a:prstGeom prst="rect">
                      <a:avLst/>
                    </a:prstGeom>
                    <a:noFill/>
                  </pic:spPr>
                </pic:pic>
              </a:graphicData>
            </a:graphic>
          </wp:anchor>
        </w:drawing>
        <w:t>With respect to shares of Common Stock (other than the Sales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83" w:lineRule="exact"/>
        <w:rPr>
          <w:rFonts w:ascii="Arial" w:cs="Arial" w:eastAsia="Arial" w:hAnsi="Arial"/>
          <w:sz w:val="18"/>
          <w:szCs w:val="18"/>
          <w:color w:val="auto"/>
        </w:rPr>
      </w:pPr>
    </w:p>
    <w:p>
      <w:pPr>
        <w:ind w:left="-436" w:firstLine="436"/>
        <w:spacing w:after="0" w:line="269" w:lineRule="auto"/>
        <w:tabs>
          <w:tab w:leader="none" w:pos="18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77" w:lineRule="exact"/>
        <w:rPr>
          <w:rFonts w:ascii="Arial" w:cs="Arial" w:eastAsia="Arial" w:hAnsi="Arial"/>
          <w:sz w:val="17"/>
          <w:szCs w:val="17"/>
          <w:color w:val="auto"/>
        </w:rPr>
      </w:pPr>
    </w:p>
    <w:p>
      <w:pPr>
        <w:ind w:left="-436" w:right="40" w:firstLine="436"/>
        <w:spacing w:after="0" w:line="287" w:lineRule="auto"/>
        <w:tabs>
          <w:tab w:leader="none" w:pos="18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With respect to the Depositary Shares, when (i) the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(ii) the applicable Depositary Agreement relating to the Depositary Shares has been duly authorized, executed and delivered; any depositary receipts evidencing rights in the Depositary Shares have been executed; and the depositary appointed by the Company, (iii) the terms of the issuance and sale of the Depositary Shares have been duly established in conformity with the Certificate of Incorporation and Bylaws, (iv) the Depositary Shares have been issued and delivered as contemplated by the Registration Statement, the Prospectus and any applicable prospectus supplement in accordance with the applicable underwriting or other purchase agreement against payment therefor, (v) the shares of Preferred Stock underlying the Depositary Shares have been deposited with a bank or trust company (which meets the requirements for the depositary set forth in the Registration Statement), and (vi) the Company has received the consideration provided for in the Authorizing Resolutions and the applicable underwriting agreement or other purchase agreement, the Depositary Shares will be legally issued and will entitle the holders of such Depositary Shares to the rights specified in the applicable Depositary Agreement and the applicable depositary receipts.</w:t>
      </w:r>
    </w:p>
    <w:p>
      <w:pPr>
        <w:spacing w:after="0" w:line="59" w:lineRule="exact"/>
        <w:rPr>
          <w:rFonts w:ascii="Arial" w:cs="Arial" w:eastAsia="Arial" w:hAnsi="Arial"/>
          <w:sz w:val="16"/>
          <w:szCs w:val="16"/>
          <w:color w:val="auto"/>
        </w:rPr>
      </w:pPr>
    </w:p>
    <w:p>
      <w:pPr>
        <w:ind w:left="-436" w:right="20" w:firstLine="436"/>
        <w:spacing w:after="0" w:line="271" w:lineRule="auto"/>
        <w:tabs>
          <w:tab w:leader="none" w:pos="18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 respect to the Subscription Rights, when (i) specifically authorized for issuance by Authorizing Resolutions, (ii) any applicable Subscription Rights Agreement has been duly authorized, executed and delivered, (iii) the terms of the Subscription Rights and of their issuance and sale have been duly established in conformity with any applicable Subscription Rights Agreement and the Authorizing Resolutions, (iv) the Subscription Rights have been duly executed and delivered in accordance with any applicable Subscription Rights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Subscription Rights will constitute valid and binding obligations of the Company enforceable against the Company in accordance with their terms.</w:t>
      </w:r>
    </w:p>
    <w:p>
      <w:pPr>
        <w:spacing w:after="0" w:line="70" w:lineRule="exact"/>
        <w:rPr>
          <w:rFonts w:ascii="Arial" w:cs="Arial" w:eastAsia="Arial" w:hAnsi="Arial"/>
          <w:sz w:val="17"/>
          <w:szCs w:val="17"/>
          <w:color w:val="auto"/>
        </w:rPr>
      </w:pPr>
    </w:p>
    <w:p>
      <w:pPr>
        <w:ind w:left="-436" w:right="20" w:firstLine="436"/>
        <w:spacing w:after="0" w:line="279" w:lineRule="auto"/>
        <w:tabs>
          <w:tab w:leader="none" w:pos="18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 (iv) the Units have been duly executed and delivered in accordance with any applicable Unit Agreement and issued and delivered as contemplated by the Registration Statement, the Prospectus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134620</wp:posOffset>
            </wp:positionV>
            <wp:extent cx="6086475" cy="291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6086475" cy="291465"/>
                    </a:xfrm>
                    <a:prstGeom prst="rect">
                      <a:avLst/>
                    </a:prstGeom>
                    <a:noFill/>
                  </pic:spPr>
                </pic:pic>
              </a:graphicData>
            </a:graphic>
          </wp:anchor>
        </w:drawing>
      </w:r>
    </w:p>
    <w:p>
      <w:pPr>
        <w:sectPr>
          <w:pgSz w:w="11900" w:h="16838" w:orient="portrait"/>
          <w:cols w:equalWidth="0" w:num="1">
            <w:col w:w="10584"/>
          </w:cols>
          <w:pgMar w:left="876" w:top="827" w:right="439" w:bottom="1440" w:gutter="0" w:footer="0" w:header="0"/>
        </w:sectPr>
      </w:pPr>
    </w:p>
    <w:bookmarkStart w:id="220" w:name="page221"/>
    <w:bookmarkEnd w:id="220"/>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183515</wp:posOffset>
            </wp:positionV>
            <wp:extent cx="1423035"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14630"/>
                    </a:xfrm>
                    <a:prstGeom prst="rect">
                      <a:avLst/>
                    </a:prstGeom>
                    <a:noFill/>
                  </pic:spPr>
                </pic:pic>
              </a:graphicData>
            </a:graphic>
          </wp:anchor>
        </w:drawing>
        <w:t>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41" w:lineRule="exact"/>
        <w:rPr>
          <w:sz w:val="20"/>
          <w:szCs w:val="20"/>
          <w:color w:val="auto"/>
        </w:rPr>
      </w:pPr>
    </w:p>
    <w:p>
      <w:pPr>
        <w:ind w:firstLine="436"/>
        <w:spacing w:after="0" w:line="271" w:lineRule="auto"/>
        <w:tabs>
          <w:tab w:leader="none" w:pos="6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With respect to the Warrants, when (i) specifically authorized for issuance by the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70" w:lineRule="exact"/>
        <w:rPr>
          <w:rFonts w:ascii="Arial" w:cs="Arial" w:eastAsia="Arial" w:hAnsi="Arial"/>
          <w:sz w:val="17"/>
          <w:szCs w:val="17"/>
          <w:color w:val="auto"/>
        </w:rPr>
      </w:pPr>
    </w:p>
    <w:p>
      <w:pPr>
        <w:jc w:val="both"/>
        <w:ind w:firstLine="436"/>
        <w:spacing w:after="0" w:line="311" w:lineRule="auto"/>
        <w:tabs>
          <w:tab w:leader="none" w:pos="6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With respect to the Sales Agreement Shares, such Sales Agreement Shares have been duly authorized for issuance and when (i) the Registration Statement has become effective under the Securities Act and (ii) the Sales Agreement Shares have been issued and paid for in accordance with the terms and conditions of the Sales Agreement, the Sales Agreement Shares will be validly issued, fully paid and nonassessable.</w:t>
      </w:r>
    </w:p>
    <w:p>
      <w:pPr>
        <w:spacing w:after="0" w:line="14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49"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Sales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168910</wp:posOffset>
            </wp:positionV>
            <wp:extent cx="6086475" cy="291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6086475" cy="291465"/>
                    </a:xfrm>
                    <a:prstGeom prst="rect">
                      <a:avLst/>
                    </a:prstGeom>
                    <a:noFill/>
                  </pic:spPr>
                </pic:pic>
              </a:graphicData>
            </a:graphic>
          </wp:anchor>
        </w:drawing>
      </w:r>
    </w:p>
    <w:p>
      <w:pPr>
        <w:sectPr>
          <w:pgSz w:w="11900" w:h="16838" w:orient="portrait"/>
          <w:cols w:equalWidth="0" w:num="1">
            <w:col w:w="10980"/>
          </w:cols>
          <w:pgMar w:left="440" w:top="827" w:right="47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 dated March 24, 2022 relating to the financial statements of Werewolf Therapeutics, Inc., appearing in the Annual Report on Form 10-K of Werewolf Therapeutics, Inc. for the year ended December 31, 2021.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2022</w:t>
      </w:r>
    </w:p>
    <w:p>
      <w:pPr>
        <w:sectPr>
          <w:pgSz w:w="11900" w:h="16838" w:orient="portrait"/>
          <w:cols w:equalWidth="0" w:num="1">
            <w:col w:w="11020"/>
          </w:cols>
          <w:pgMar w:left="440" w:top="121" w:right="4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Calculation of Filing Fee Tables</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Werewolf Therapeutics, Inc.</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280" w:type="dxa"/>
            <w:vAlign w:val="bottom"/>
            <w:tcBorders>
              <w:top w:val="single" w:sz="8" w:color="auto"/>
              <w:left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60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1"/>
              </w:rPr>
              <w:t>Filing Fee</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3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8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with Unsold</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8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Securities to</w:t>
            </w: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20" w:type="dxa"/>
            <w:vAlign w:val="bottom"/>
            <w:tcBorders>
              <w:right w:val="single" w:sz="8" w:color="auto"/>
            </w:tcBorders>
          </w:tcPr>
          <w:p>
            <w:pPr>
              <w:jc w:val="right"/>
              <w:ind w:right="15"/>
              <w:spacing w:after="0" w:line="135" w:lineRule="exact"/>
              <w:rPr>
                <w:sz w:val="20"/>
                <w:szCs w:val="20"/>
                <w:color w:val="auto"/>
              </w:rPr>
            </w:pPr>
            <w:r>
              <w:rPr>
                <w:rFonts w:ascii="Arial" w:cs="Arial" w:eastAsia="Arial" w:hAnsi="Arial"/>
                <w:sz w:val="13"/>
                <w:szCs w:val="13"/>
                <w:color w:val="auto"/>
              </w:rPr>
              <w:t>Amount</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File</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be Carried</w:t>
            </w:r>
          </w:p>
        </w:tc>
      </w:tr>
      <w:tr>
        <w:trPr>
          <w:trHeight w:val="161"/>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w w:val="89"/>
              </w:rPr>
              <w:t>Registered</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10"/>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Debt Securities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par value $0.0001</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Preferred Stock,</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par value $0.0001</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Depositary</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Shares(2)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Subscription</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Rights(3)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Units(4)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4"/>
              </w:rPr>
              <w:t>Fees to be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$92.70 per</w:t>
            </w: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(Universal) Shelf</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$150,000,000 (1)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$13,905</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79"/>
              </w:rPr>
              <w:t>Fees</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Previously</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98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61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25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97"/>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Carry</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Forward</w:t>
            </w:r>
          </w:p>
        </w:tc>
        <w:tc>
          <w:tcPr>
            <w:tcW w:w="9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4"/>
        </w:trPr>
        <w:tc>
          <w:tcPr>
            <w:tcW w:w="12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3"/>
          </w:tcPr>
          <w:p>
            <w:pPr>
              <w:jc w:val="center"/>
              <w:ind w:left="694"/>
              <w:spacing w:after="0"/>
              <w:rPr>
                <w:sz w:val="20"/>
                <w:szCs w:val="20"/>
                <w:color w:val="auto"/>
              </w:rPr>
            </w:pPr>
            <w:r>
              <w:rPr>
                <w:rFonts w:ascii="Arial" w:cs="Arial" w:eastAsia="Arial" w:hAnsi="Arial"/>
                <w:sz w:val="18"/>
                <w:szCs w:val="18"/>
                <w:color w:val="auto"/>
                <w:w w:val="93"/>
              </w:rPr>
              <w:t>Total Offering Amounts</w:t>
            </w:r>
          </w:p>
        </w:tc>
        <w:tc>
          <w:tcPr>
            <w:tcW w:w="6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$150,000,000 (1)</w:t>
            </w:r>
          </w:p>
        </w:tc>
        <w:tc>
          <w:tcPr>
            <w:tcW w:w="8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$13,905</w:t>
            </w:r>
          </w:p>
        </w:tc>
        <w:tc>
          <w:tcPr>
            <w:tcW w:w="5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223"/>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6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223"/>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86"/>
              </w:rPr>
              <w:t>Total Fee Offsets</w:t>
            </w:r>
          </w:p>
        </w:tc>
        <w:tc>
          <w:tcPr>
            <w:tcW w:w="6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223"/>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6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$13,905</w:t>
            </w:r>
          </w:p>
        </w:tc>
        <w:tc>
          <w:tcPr>
            <w:tcW w:w="5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0900"/>
          </w:cols>
          <w:pgMar w:left="560" w:top="121" w:right="439" w:bottom="1440" w:gutter="0" w:footer="0" w:header="0"/>
        </w:sectPr>
      </w:pPr>
    </w:p>
    <w:bookmarkStart w:id="223" w:name="page224"/>
    <w:bookmarkEnd w:id="223"/>
    <w:p>
      <w:pPr>
        <w:ind w:left="424" w:right="60" w:hanging="424"/>
        <w:spacing w:after="0" w:line="267" w:lineRule="auto"/>
        <w:tabs>
          <w:tab w:leader="none" w:pos="424"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w:t>
      </w:r>
    </w:p>
    <w:p>
      <w:pPr>
        <w:spacing w:after="0" w:line="1" w:lineRule="exact"/>
        <w:rPr>
          <w:rFonts w:ascii="Arial" w:cs="Arial" w:eastAsia="Arial" w:hAnsi="Arial"/>
          <w:sz w:val="17"/>
          <w:szCs w:val="17"/>
          <w:color w:val="auto"/>
        </w:rPr>
      </w:pPr>
    </w:p>
    <w:p>
      <w:pPr>
        <w:ind w:left="424" w:hanging="424"/>
        <w:spacing w:after="0" w:line="250" w:lineRule="auto"/>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will represent an interest in a fractional share or multiple shares of preferred stock and will be evidenced by a depositary receipt.</w:t>
      </w:r>
    </w:p>
    <w:p>
      <w:pPr>
        <w:ind w:left="424" w:hanging="424"/>
        <w:spacing w:after="0"/>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subscription rights to purchase shares of common stock or preferred stock will be offered without additional consideration.</w:t>
      </w:r>
    </w:p>
    <w:p>
      <w:pPr>
        <w:spacing w:after="0" w:line="9" w:lineRule="exact"/>
        <w:rPr>
          <w:rFonts w:ascii="Arial" w:cs="Arial" w:eastAsia="Arial" w:hAnsi="Arial"/>
          <w:sz w:val="18"/>
          <w:szCs w:val="18"/>
          <w:color w:val="auto"/>
        </w:rPr>
      </w:pPr>
    </w:p>
    <w:p>
      <w:pPr>
        <w:ind w:left="424" w:right="260" w:hanging="424"/>
        <w:spacing w:after="0" w:line="255" w:lineRule="auto"/>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
      <w:numFmt w:val="bullet"/>
      <w:start w:val="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1)"/>
      <w:numFmt w:val="decimal"/>
      <w:start w:val="617"/>
    </w:lvl>
  </w:abstractNum>
  <w:abstractNum w:abstractNumId="35">
    <w:nsid w:val="69E373"/>
    <w:multiLevelType w:val="hybridMultilevel"/>
    <w:lvl w:ilvl="0">
      <w:lvlJc w:val="left"/>
      <w:lvlText w:val="(%1)"/>
      <w:numFmt w:val="decimal"/>
      <w:start w:val="1"/>
    </w:lvl>
  </w:abstractNum>
  <w:abstractNum w:abstractNumId="36">
    <w:nsid w:val="2C27173B"/>
    <w:multiLevelType w:val="hybridMultilevel"/>
    <w:lvl w:ilvl="0">
      <w:lvlJc w:val="left"/>
      <w:lvlText w:val="(%1)"/>
      <w:numFmt w:val="lowerRoman"/>
      <w:start w:val="2"/>
    </w:lvl>
  </w:abstractNum>
  <w:abstractNum w:abstractNumId="37">
    <w:nsid w:val="4C9B0904"/>
    <w:multiLevelType w:val="hybridMultilevel"/>
    <w:lvl w:ilvl="0">
      <w:lvlJc w:val="left"/>
      <w:lvlText w:val="%1"/>
      <w:numFmt w:val="decimal"/>
      <w:start w:val="24"/>
    </w:lvl>
  </w:abstractNum>
  <w:abstractNum w:abstractNumId="38">
    <w:nsid w:val="6AA7B75C"/>
    <w:multiLevelType w:val="hybridMultilevel"/>
    <w:lvl w:ilvl="0">
      <w:lvlJc w:val="left"/>
      <w:lvlText w:val="%1"/>
      <w:numFmt w:val="decimal"/>
      <w:start w:val="107"/>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1)"/>
      <w:numFmt w:val="lowerRoman"/>
      <w:start w:val="1"/>
    </w:lvl>
  </w:abstractNum>
  <w:abstractNum w:abstractNumId="42">
    <w:nsid w:val="3DB012B3"/>
    <w:multiLevelType w:val="hybridMultilevel"/>
    <w:lvl w:ilvl="0">
      <w:lvlJc w:val="left"/>
      <w:lvlText w:val="(%1)"/>
      <w:numFmt w:val="decimal"/>
      <w:start w:val="2"/>
    </w:lvl>
    <w:lvl w:ilvl="1">
      <w:lvlJc w:val="left"/>
      <w:lvlText w:val="(%2)"/>
      <w:numFmt w:val="lowerRoman"/>
      <w:start w:val="1"/>
    </w:lvl>
  </w:abstractNum>
  <w:abstractNum w:abstractNumId="43">
    <w:nsid w:val="2708C9AF"/>
    <w:multiLevelType w:val="hybridMultilevel"/>
    <w:lvl w:ilvl="0">
      <w:lvlJc w:val="left"/>
      <w:lvlText w:val="(%1)"/>
      <w:numFmt w:val="decimal"/>
      <w:start w:val="5"/>
    </w:lvl>
    <w:lvl w:ilvl="1">
      <w:lvlJc w:val="left"/>
      <w:lvlText w:val="(%2)"/>
      <w:numFmt w:val="lowerRoman"/>
      <w:start w:val="1"/>
    </w:lvl>
  </w:abstractNum>
  <w:abstractNum w:abstractNumId="44">
    <w:nsid w:val="5B25ACE2"/>
    <w:multiLevelType w:val="hybridMultilevel"/>
    <w:lvl w:ilvl="0">
      <w:lvlJc w:val="left"/>
      <w:lvlText w:val="(%1)"/>
      <w:numFmt w:val="lowerLetter"/>
      <w:start w:val="2"/>
    </w:lvl>
  </w:abstractNum>
  <w:abstractNum w:abstractNumId="45">
    <w:nsid w:val="175DFCF0"/>
    <w:multiLevelType w:val="hybridMultilevel"/>
    <w:lvl w:ilvl="0">
      <w:lvlJc w:val="left"/>
      <w:lvlText w:val="(%1)"/>
      <w:numFmt w:val="lowerLetter"/>
      <w:start w:val="8"/>
    </w:lvl>
  </w:abstractNum>
  <w:abstractNum w:abstractNumId="46">
    <w:nsid w:val="4F97E3E4"/>
    <w:multiLevelType w:val="hybridMultilevel"/>
    <w:lvl w:ilvl="0">
      <w:lvlJc w:val="left"/>
      <w:lvlText w:val="(%1)"/>
      <w:numFmt w:val="lowerLetter"/>
      <w:start w:val="10"/>
    </w:lvl>
  </w:abstractNum>
  <w:abstractNum w:abstractNumId="47">
    <w:nsid w:val="53B0A9E"/>
    <w:multiLevelType w:val="hybridMultilevel"/>
    <w:lvl w:ilvl="0">
      <w:lvlJc w:val="left"/>
      <w:lvlText w:val="%1."/>
      <w:numFmt w:val="decimal"/>
      <w:start w:val="1"/>
    </w:lvl>
  </w:abstractNum>
  <w:abstractNum w:abstractNumId="48">
    <w:nsid w:val="34FD6B4F"/>
    <w:multiLevelType w:val="hybridMultilevel"/>
    <w:lvl w:ilvl="0">
      <w:lvlJc w:val="left"/>
      <w:lvlText w:val="%1."/>
      <w:numFmt w:val="decimal"/>
      <w:start w:val="2"/>
    </w:lvl>
  </w:abstractNum>
  <w:abstractNum w:abstractNumId="49">
    <w:nsid w:val="5915FF32"/>
    <w:multiLevelType w:val="hybridMultilevel"/>
    <w:lvl w:ilvl="0">
      <w:lvlJc w:val="left"/>
      <w:lvlText w:val="%1"/>
      <w:numFmt w:val="lowerRoman"/>
      <w:start w:val="1"/>
    </w:lvl>
    <w:lvl w:ilvl="1">
      <w:lvlJc w:val="left"/>
      <w:lvlText w:val="%2."/>
      <w:numFmt w:val="decimal"/>
      <w:start w:val="3"/>
    </w:lvl>
  </w:abstractNum>
  <w:abstractNum w:abstractNumId="50">
    <w:nsid w:val="56438D15"/>
    <w:multiLevelType w:val="hybridMultilevel"/>
    <w:lvl w:ilvl="0">
      <w:lvlJc w:val="left"/>
      <w:lvlText w:val="(%1)"/>
      <w:numFmt w:val="lowerRoman"/>
      <w:start w:val="3"/>
    </w:lvl>
    <w:lvl w:ilvl="1">
      <w:lvlJc w:val="left"/>
      <w:lvlText w:val="%2."/>
      <w:numFmt w:val="decimal"/>
      <w:start w:val="4"/>
    </w:lvl>
  </w:abstractNum>
  <w:abstractNum w:abstractNumId="51">
    <w:nsid w:val="519E3149"/>
    <w:multiLevelType w:val="hybridMultilevel"/>
    <w:lvl w:ilvl="0">
      <w:lvlJc w:val="left"/>
      <w:lvlText w:val="(%1)"/>
      <w:numFmt w:val="lowerLetter"/>
      <w:start w:val="1"/>
    </w:lvl>
  </w:abstractNum>
  <w:abstractNum w:abstractNumId="52">
    <w:nsid w:val="2C6E4AFD"/>
    <w:multiLevelType w:val="hybridMultilevel"/>
    <w:lvl w:ilvl="0">
      <w:lvlJc w:val="left"/>
      <w:lvlText w:val="(%1)"/>
      <w:numFmt w:val="lowerLetter"/>
      <w:start w:val="2"/>
    </w:lvl>
  </w:abstractNum>
  <w:abstractNum w:abstractNumId="53">
    <w:nsid w:val="17A1B582"/>
    <w:multiLevelType w:val="hybridMultilevel"/>
    <w:lvl w:ilvl="0">
      <w:lvlJc w:val="left"/>
      <w:lvlText w:val="%1."/>
      <w:numFmt w:val="decimal"/>
      <w:start w:val="5"/>
    </w:lvl>
  </w:abstractNum>
  <w:abstractNum w:abstractNumId="54">
    <w:nsid w:val="4DF72E4E"/>
    <w:multiLevelType w:val="hybridMultilevel"/>
    <w:lvl w:ilvl="0">
      <w:lvlJc w:val="left"/>
      <w:lvlText w:val="%1"/>
      <w:numFmt w:val="lowerLetter"/>
      <w:start w:val="1"/>
    </w:lvl>
    <w:lvl w:ilvl="1">
      <w:lvlJc w:val="left"/>
      <w:lvlText w:val="(%2)"/>
      <w:numFmt w:val="lowerLetter"/>
      <w:start w:val="1"/>
    </w:lvl>
  </w:abstractNum>
  <w:abstractNum w:abstractNumId="55">
    <w:nsid w:val="5046B5A9"/>
    <w:multiLevelType w:val="hybridMultilevel"/>
    <w:lvl w:ilvl="0">
      <w:lvlJc w:val="left"/>
      <w:lvlText w:val="(%1)"/>
      <w:numFmt w:val="lowerLetter"/>
      <w:start w:val="35"/>
    </w:lvl>
    <w:lvl w:ilvl="1">
      <w:lvlJc w:val="left"/>
      <w:lvlText w:val="(%2)"/>
      <w:numFmt w:val="lowerLetter"/>
      <w:start w:val="2"/>
    </w:lvl>
  </w:abstractNum>
  <w:abstractNum w:abstractNumId="56">
    <w:nsid w:val="5D888A08"/>
    <w:multiLevelType w:val="hybridMultilevel"/>
    <w:lvl w:ilvl="0">
      <w:lvlJc w:val="left"/>
      <w:lvlText w:val="(%1)"/>
      <w:numFmt w:val="lowerLetter"/>
      <w:start w:val="3"/>
    </w:lvl>
  </w:abstractNum>
  <w:abstractNum w:abstractNumId="57">
    <w:nsid w:val="2A082C70"/>
    <w:multiLevelType w:val="hybridMultilevel"/>
    <w:lvl w:ilvl="0">
      <w:lvlJc w:val="left"/>
      <w:lvlText w:val="%1"/>
      <w:numFmt w:val="lowerRoman"/>
      <w:start w:val="1"/>
    </w:lvl>
    <w:lvl w:ilvl="1">
      <w:lvlJc w:val="left"/>
      <w:lvlText w:val="%2."/>
      <w:numFmt w:val="decimal"/>
      <w:start w:val="6"/>
    </w:lvl>
  </w:abstractNum>
  <w:abstractNum w:abstractNumId="58">
    <w:nsid w:val="5EC6AFD4"/>
    <w:multiLevelType w:val="hybridMultilevel"/>
    <w:lvl w:ilvl="0">
      <w:lvlJc w:val="left"/>
      <w:lvlText w:val="(%1)"/>
      <w:numFmt w:val="lowerRoman"/>
      <w:start w:val="1"/>
    </w:lvl>
    <w:lvl w:ilvl="1">
      <w:lvlJc w:val="left"/>
      <w:lvlText w:val="%2"/>
      <w:numFmt w:val="decimal"/>
      <w:start w:val="1"/>
    </w:lvl>
  </w:abstractNum>
  <w:abstractNum w:abstractNumId="59">
    <w:nsid w:val="19E21BB2"/>
    <w:multiLevelType w:val="hybridMultilevel"/>
    <w:lvl w:ilvl="0">
      <w:lvlJc w:val="left"/>
      <w:lvlText w:val="(%1)"/>
      <w:numFmt w:val="lowerLetter"/>
      <w:start w:val="1"/>
    </w:lvl>
  </w:abstractNum>
  <w:abstractNum w:abstractNumId="60">
    <w:nsid w:val="75E0858A"/>
    <w:multiLevelType w:val="hybridMultilevel"/>
    <w:lvl w:ilvl="0">
      <w:lvlJc w:val="left"/>
      <w:lvlText w:val="(%1)"/>
      <w:numFmt w:val="lowerLetter"/>
      <w:start w:val="2"/>
    </w:lvl>
  </w:abstractNum>
  <w:abstractNum w:abstractNumId="61">
    <w:nsid w:val="57A61A29"/>
    <w:multiLevelType w:val="hybridMultilevel"/>
    <w:lvl w:ilvl="0">
      <w:lvlJc w:val="left"/>
      <w:lvlText w:val="%1"/>
      <w:numFmt w:val="lowerLetter"/>
      <w:start w:val="1"/>
    </w:lvl>
    <w:lvl w:ilvl="1">
      <w:lvlJc w:val="left"/>
      <w:lvlText w:val="(%2)"/>
      <w:numFmt w:val="lowerLetter"/>
      <w:start w:val="5"/>
    </w:lvl>
  </w:abstractNum>
  <w:abstractNum w:abstractNumId="62">
    <w:nsid w:val="5399C654"/>
    <w:multiLevelType w:val="hybridMultilevel"/>
    <w:lvl w:ilvl="0">
      <w:lvlJc w:val="left"/>
      <w:lvlText w:val="(%1)"/>
      <w:numFmt w:val="lowerLetter"/>
      <w:start w:val="35"/>
    </w:lvl>
    <w:lvl w:ilvl="1">
      <w:lvlJc w:val="left"/>
      <w:lvlText w:val="%2"/>
      <w:numFmt w:val="lowerLetter"/>
      <w:start w:val="1"/>
    </w:lvl>
  </w:abstractNum>
  <w:abstractNum w:abstractNumId="63">
    <w:nsid w:val="20EE1348"/>
    <w:multiLevelType w:val="hybridMultilevel"/>
    <w:lvl w:ilvl="0">
      <w:lvlJc w:val="left"/>
      <w:lvlText w:val="(%1)"/>
      <w:numFmt w:val="lowerLetter"/>
      <w:start w:val="10"/>
    </w:lvl>
  </w:abstractNum>
  <w:abstractNum w:abstractNumId="64">
    <w:nsid w:val="4427069A"/>
    <w:multiLevelType w:val="hybridMultilevel"/>
    <w:lvl w:ilvl="0">
      <w:lvlJc w:val="left"/>
      <w:lvlText w:val="(%1)"/>
      <w:numFmt w:val="lowerLetter"/>
      <w:start w:val="14"/>
    </w:lvl>
  </w:abstractNum>
  <w:abstractNum w:abstractNumId="65">
    <w:nsid w:val="B37E80A"/>
    <w:multiLevelType w:val="hybridMultilevel"/>
    <w:lvl w:ilvl="0">
      <w:lvlJc w:val="left"/>
      <w:lvlText w:val="(%1)"/>
      <w:numFmt w:val="lowerLetter"/>
      <w:start w:val="17"/>
    </w:lvl>
  </w:abstractNum>
  <w:abstractNum w:abstractNumId="66">
    <w:nsid w:val="2157F6BC"/>
    <w:multiLevelType w:val="hybridMultilevel"/>
    <w:lvl w:ilvl="0">
      <w:lvlJc w:val="left"/>
      <w:lvlText w:val="(%1)"/>
      <w:numFmt w:val="lowerLetter"/>
      <w:start w:val="19"/>
    </w:lvl>
  </w:abstractNum>
  <w:abstractNum w:abstractNumId="67">
    <w:nsid w:val="704E1DD5"/>
    <w:multiLevelType w:val="hybridMultilevel"/>
    <w:lvl w:ilvl="0">
      <w:lvlJc w:val="left"/>
      <w:lvlText w:val="(%1)"/>
      <w:numFmt w:val="lowerLetter"/>
      <w:start w:val="22"/>
    </w:lvl>
  </w:abstractNum>
  <w:abstractNum w:abstractNumId="68">
    <w:nsid w:val="57D2F10E"/>
    <w:multiLevelType w:val="hybridMultilevel"/>
    <w:lvl w:ilvl="0">
      <w:lvlJc w:val="left"/>
      <w:lvlText w:val="(%1)"/>
      <w:numFmt w:val="lowerLetter"/>
      <w:start w:val="25"/>
    </w:lvl>
  </w:abstractNum>
  <w:abstractNum w:abstractNumId="69">
    <w:nsid w:val="BFFAE18"/>
    <w:multiLevelType w:val="hybridMultilevel"/>
    <w:lvl w:ilvl="0">
      <w:lvlJc w:val="left"/>
      <w:lvlText w:val="(%1)"/>
      <w:numFmt w:val="lowerLetter"/>
      <w:start w:val="27"/>
    </w:lvl>
  </w:abstractNum>
  <w:abstractNum w:abstractNumId="70">
    <w:nsid w:val="E3E47A8"/>
    <w:multiLevelType w:val="hybridMultilevel"/>
    <w:lvl w:ilvl="0">
      <w:lvlJc w:val="left"/>
      <w:lvlText w:val="(%1)"/>
      <w:numFmt w:val="lowerLetter"/>
      <w:start w:val="28"/>
    </w:lvl>
  </w:abstractNum>
  <w:abstractNum w:abstractNumId="71">
    <w:nsid w:val="2E48F044"/>
    <w:multiLevelType w:val="hybridMultilevel"/>
    <w:lvl w:ilvl="0">
      <w:lvlJc w:val="left"/>
      <w:lvlText w:val="(%1)"/>
      <w:numFmt w:val="lowerLetter"/>
      <w:start w:val="61"/>
    </w:lvl>
    <w:lvl w:ilvl="1">
      <w:lvlJc w:val="left"/>
      <w:lvlText w:val="(%2)"/>
      <w:numFmt w:val="lowerLetter"/>
      <w:start w:val="35"/>
    </w:lvl>
  </w:abstractNum>
  <w:abstractNum w:abstractNumId="72">
    <w:nsid w:val="49D0FEAC"/>
    <w:multiLevelType w:val="hybridMultilevel"/>
    <w:lvl w:ilvl="0">
      <w:lvlJc w:val="left"/>
      <w:lvlText w:val="(%1)"/>
      <w:numFmt w:val="lowerLetter"/>
      <w:start w:val="39"/>
    </w:lvl>
  </w:abstractNum>
  <w:abstractNum w:abstractNumId="73">
    <w:nsid w:val="4BEE5A5B"/>
    <w:multiLevelType w:val="hybridMultilevel"/>
    <w:lvl w:ilvl="0">
      <w:lvlJc w:val="left"/>
      <w:lvlText w:val="(%1)"/>
      <w:numFmt w:val="lowerRoman"/>
      <w:start w:val="2"/>
    </w:lvl>
    <w:lvl w:ilvl="1">
      <w:lvlJc w:val="left"/>
      <w:lvlText w:val="(%2)"/>
      <w:numFmt w:val="lowerLetter"/>
      <w:start w:val="42"/>
    </w:lvl>
  </w:abstractNum>
  <w:abstractNum w:abstractNumId="74">
    <w:nsid w:val="5551B9F3"/>
    <w:multiLevelType w:val="hybridMultilevel"/>
    <w:lvl w:ilvl="0">
      <w:lvlJc w:val="left"/>
      <w:lvlText w:val="(%1)"/>
      <w:numFmt w:val="lowerLetter"/>
      <w:start w:val="45"/>
    </w:lvl>
  </w:abstractNum>
  <w:abstractNum w:abstractNumId="75">
    <w:nsid w:val="24F6AB8E"/>
    <w:multiLevelType w:val="hybridMultilevel"/>
    <w:lvl w:ilvl="0">
      <w:lvlJc w:val="left"/>
      <w:lvlText w:val="(%1)"/>
      <w:numFmt w:val="lowerLetter"/>
      <w:start w:val="51"/>
    </w:lvl>
  </w:abstractNum>
  <w:abstractNum w:abstractNumId="76">
    <w:nsid w:val="634C574C"/>
    <w:multiLevelType w:val="hybridMultilevel"/>
    <w:lvl w:ilvl="0">
      <w:lvlJc w:val="left"/>
      <w:lvlText w:val="(%1)"/>
      <w:numFmt w:val="lowerLetter"/>
      <w:start w:val="53"/>
    </w:lvl>
  </w:abstractNum>
  <w:abstractNum w:abstractNumId="77">
    <w:nsid w:val="24E99DD7"/>
    <w:multiLevelType w:val="hybridMultilevel"/>
    <w:lvl w:ilvl="0">
      <w:lvlJc w:val="left"/>
      <w:lvlText w:val="%1"/>
      <w:numFmt w:val="lowerRoman"/>
      <w:start w:val="1"/>
    </w:lvl>
    <w:lvl w:ilvl="1">
      <w:lvlJc w:val="left"/>
      <w:lvlText w:val="(%2)"/>
      <w:numFmt w:val="lowerLetter"/>
      <w:start w:val="1"/>
    </w:lvl>
  </w:abstractNum>
  <w:abstractNum w:abstractNumId="78">
    <w:nsid w:val="2A31B62D"/>
    <w:multiLevelType w:val="hybridMultilevel"/>
    <w:lvl w:ilvl="0">
      <w:lvlJc w:val="left"/>
      <w:lvlText w:val="(%1)"/>
      <w:numFmt w:val="lowerRoman"/>
      <w:start w:val="4"/>
    </w:lvl>
    <w:lvl w:ilvl="1">
      <w:lvlJc w:val="left"/>
      <w:lvlText w:val="(%2)"/>
      <w:numFmt w:val="lowerLetter"/>
      <w:start w:val="2"/>
    </w:lvl>
  </w:abstractNum>
  <w:abstractNum w:abstractNumId="79">
    <w:nsid w:val="1849C29B"/>
    <w:multiLevelType w:val="hybridMultilevel"/>
    <w:lvl w:ilvl="0">
      <w:lvlJc w:val="left"/>
      <w:lvlText w:val="(%1)"/>
      <w:numFmt w:val="lowerLetter"/>
      <w:start w:val="3"/>
    </w:lvl>
  </w:abstractNum>
  <w:abstractNum w:abstractNumId="80">
    <w:nsid w:val="7DFF9D09"/>
    <w:multiLevelType w:val="hybridMultilevel"/>
    <w:lvl w:ilvl="0">
      <w:lvlJc w:val="left"/>
      <w:lvlText w:val="(%1)"/>
      <w:numFmt w:val="lowerLetter"/>
      <w:start w:val="8"/>
    </w:lvl>
  </w:abstractNum>
  <w:abstractNum w:abstractNumId="81">
    <w:nsid w:val="754342"/>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82">
    <w:nsid w:val="69E7F3E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3">
    <w:nsid w:val="2A6DE806"/>
    <w:multiLevelType w:val="hybridMultilevel"/>
    <w:lvl w:ilvl="0">
      <w:lvlJc w:val="left"/>
      <w:lvlText w:val="(%1)"/>
      <w:numFmt w:val="lowerLetter"/>
      <w:start w:val="14"/>
    </w:lvl>
  </w:abstractNum>
  <w:abstractNum w:abstractNumId="84">
    <w:nsid w:val="1816F8C4"/>
    <w:multiLevelType w:val="hybridMultilevel"/>
    <w:lvl w:ilvl="0">
      <w:lvlJc w:val="left"/>
      <w:lvlText w:val="(%1)"/>
      <w:numFmt w:val="lowerLetter"/>
      <w:start w:val="17"/>
    </w:lvl>
  </w:abstractNum>
  <w:abstractNum w:abstractNumId="85">
    <w:nsid w:val="37DF2233"/>
    <w:multiLevelType w:val="hybridMultilevel"/>
    <w:lvl w:ilvl="0">
      <w:lvlJc w:val="left"/>
      <w:lvlText w:val="(%1)"/>
      <w:numFmt w:val="lowerLetter"/>
      <w:start w:val="23"/>
    </w:lvl>
  </w:abstractNum>
  <w:abstractNum w:abstractNumId="86">
    <w:nsid w:val="7AB49DAF"/>
    <w:multiLevelType w:val="hybridMultilevel"/>
    <w:lvl w:ilvl="0">
      <w:lvlJc w:val="left"/>
      <w:lvlText w:val="%1."/>
      <w:numFmt w:val="decimal"/>
      <w:start w:val="8"/>
    </w:lvl>
  </w:abstractNum>
  <w:abstractNum w:abstractNumId="87">
    <w:nsid w:val="759F82CD"/>
    <w:multiLevelType w:val="hybridMultilevel"/>
    <w:lvl w:ilvl="0">
      <w:lvlJc w:val="left"/>
      <w:lvlText w:val="(%1)"/>
      <w:numFmt w:val="lowerLetter"/>
      <w:start w:val="1"/>
    </w:lvl>
  </w:abstractNum>
  <w:abstractNum w:abstractNumId="88">
    <w:nsid w:val="61E74EA3"/>
    <w:multiLevelType w:val="hybridMultilevel"/>
    <w:lvl w:ilvl="0">
      <w:lvlJc w:val="left"/>
      <w:lvlText w:val="%1"/>
      <w:numFmt w:val="lowerLetter"/>
      <w:start w:val="1"/>
    </w:lvl>
    <w:lvl w:ilvl="1">
      <w:lvlJc w:val="left"/>
      <w:lvlText w:val="(%2)"/>
      <w:numFmt w:val="lowerLetter"/>
      <w:start w:val="7"/>
    </w:lvl>
  </w:abstractNum>
  <w:abstractNum w:abstractNumId="89">
    <w:nsid w:val="597B4D84"/>
    <w:multiLevelType w:val="hybridMultilevel"/>
    <w:lvl w:ilvl="0">
      <w:lvlJc w:val="left"/>
      <w:lvlText w:val="(%1)"/>
      <w:numFmt w:val="lowerLetter"/>
      <w:start w:val="35"/>
    </w:lvl>
    <w:lvl w:ilvl="1">
      <w:lvlJc w:val="left"/>
      <w:lvlText w:val="(%2)"/>
      <w:numFmt w:val="lowerLetter"/>
      <w:start w:val="15"/>
    </w:lvl>
  </w:abstractNum>
  <w:abstractNum w:abstractNumId="90">
    <w:nsid w:val="F819E7F"/>
    <w:multiLevelType w:val="hybridMultilevel"/>
    <w:lvl w:ilvl="0">
      <w:lvlJc w:val="left"/>
      <w:lvlText w:val="(%1)"/>
      <w:numFmt w:val="lowerLetter"/>
      <w:start w:val="16"/>
    </w:lvl>
  </w:abstractNum>
  <w:abstractNum w:abstractNumId="91">
    <w:nsid w:val="57C7D42D"/>
    <w:multiLevelType w:val="hybridMultilevel"/>
    <w:lvl w:ilvl="0">
      <w:lvlJc w:val="left"/>
      <w:lvlText w:val="%1."/>
      <w:numFmt w:val="decimal"/>
      <w:start w:val="9"/>
    </w:lvl>
  </w:abstractNum>
  <w:abstractNum w:abstractNumId="92">
    <w:nsid w:val="312167AD"/>
    <w:multiLevelType w:val="hybridMultilevel"/>
    <w:lvl w:ilvl="0">
      <w:lvlJc w:val="left"/>
      <w:lvlText w:val="(%1)"/>
      <w:numFmt w:val="lowerLetter"/>
      <w:start w:val="1"/>
    </w:lvl>
  </w:abstractNum>
  <w:abstractNum w:abstractNumId="93">
    <w:nsid w:val="631B64D4"/>
    <w:multiLevelType w:val="hybridMultilevel"/>
    <w:lvl w:ilvl="0">
      <w:lvlJc w:val="left"/>
      <w:lvlText w:val="(%1)"/>
      <w:numFmt w:val="decimal"/>
      <w:start w:val="1"/>
    </w:lvl>
    <w:lvl w:ilvl="1">
      <w:lvlJc w:val="left"/>
      <w:lvlText w:val="(%2)"/>
      <w:numFmt w:val="lowerLetter"/>
      <w:start w:val="4"/>
    </w:lvl>
  </w:abstractNum>
  <w:abstractNum w:abstractNumId="94">
    <w:nsid w:val="78B5E776"/>
    <w:multiLevelType w:val="hybridMultilevel"/>
    <w:lvl w:ilvl="0">
      <w:lvlJc w:val="left"/>
      <w:lvlText w:val="%1."/>
      <w:numFmt w:val="decimal"/>
      <w:start w:val="10"/>
    </w:lvl>
  </w:abstractNum>
  <w:abstractNum w:abstractNumId="95">
    <w:nsid w:val="75486E47"/>
    <w:multiLevelType w:val="hybridMultilevel"/>
    <w:lvl w:ilvl="0">
      <w:lvlJc w:val="left"/>
      <w:lvlText w:val="%1."/>
      <w:numFmt w:val="decimal"/>
      <w:start w:val="11"/>
    </w:lvl>
  </w:abstractNum>
  <w:abstractNum w:abstractNumId="96">
    <w:nsid w:val="6E534CDE"/>
    <w:multiLevelType w:val="hybridMultilevel"/>
    <w:lvl w:ilvl="0">
      <w:lvlJc w:val="left"/>
      <w:lvlText w:val="(%1)"/>
      <w:numFmt w:val="lowerLetter"/>
      <w:start w:val="1"/>
    </w:lvl>
  </w:abstractNum>
  <w:abstractNum w:abstractNumId="97">
    <w:nsid w:val="1A0DDE32"/>
    <w:multiLevelType w:val="hybridMultilevel"/>
    <w:lvl w:ilvl="0">
      <w:lvlJc w:val="left"/>
      <w:lvlText w:val="%1."/>
      <w:numFmt w:val="decimal"/>
      <w:start w:val="12"/>
    </w:lvl>
  </w:abstractNum>
  <w:abstractNum w:abstractNumId="98">
    <w:nsid w:val="65968C1C"/>
    <w:multiLevelType w:val="hybridMultilevel"/>
    <w:lvl w:ilvl="0">
      <w:lvlJc w:val="left"/>
      <w:lvlText w:val="%1."/>
      <w:numFmt w:val="decimal"/>
      <w:start w:val="13"/>
    </w:lvl>
  </w:abstractNum>
  <w:abstractNum w:abstractNumId="99">
    <w:nsid w:val="46263DEC"/>
    <w:multiLevelType w:val="hybridMultilevel"/>
    <w:lvl w:ilvl="0">
      <w:lvlJc w:val="left"/>
      <w:lvlText w:val="%1."/>
      <w:numFmt w:val="decimal"/>
      <w:start w:val="16"/>
    </w:lvl>
  </w:abstractNum>
  <w:abstractNum w:abstractNumId="100">
    <w:nsid w:val="260D8C4A"/>
    <w:multiLevelType w:val="hybridMultilevel"/>
    <w:lvl w:ilvl="0">
      <w:lvlJc w:val="left"/>
      <w:lvlText w:val="(%1)"/>
      <w:numFmt w:val="lowerLetter"/>
      <w:start w:val="1"/>
    </w:lvl>
  </w:abstractNum>
  <w:abstractNum w:abstractNumId="101">
    <w:nsid w:val="73D4D3C4"/>
    <w:multiLevelType w:val="hybridMultilevel"/>
    <w:lvl w:ilvl="0">
      <w:lvlJc w:val="left"/>
      <w:lvlText w:val="%1."/>
      <w:numFmt w:val="decimal"/>
      <w:start w:val="19"/>
    </w:lvl>
  </w:abstractNum>
  <w:abstractNum w:abstractNumId="102">
    <w:nsid w:val="746F2E30"/>
    <w:multiLevelType w:val="hybridMultilevel"/>
    <w:lvl w:ilvl="0">
      <w:lvlJc w:val="left"/>
      <w:lvlText w:val="(%1)"/>
      <w:numFmt w:val="lowerLetter"/>
      <w:start w:val="1"/>
    </w:lvl>
  </w:abstractNum>
  <w:abstractNum w:abstractNumId="103">
    <w:nsid w:val="6FDE8AF6"/>
    <w:multiLevelType w:val="hybridMultilevel"/>
    <w:lvl w:ilvl="0">
      <w:lvlJc w:val="left"/>
      <w:lvlText w:val="%1."/>
      <w:numFmt w:val="decimal"/>
      <w:start w:val="21"/>
    </w:lvl>
  </w:abstractNum>
  <w:abstractNum w:abstractNumId="104">
    <w:nsid w:val="3FC32E20"/>
    <w:multiLevelType w:val="hybridMultilevel"/>
    <w:lvl w:ilvl="0">
      <w:lvlJc w:val="left"/>
      <w:lvlText w:val="(%1)"/>
      <w:numFmt w:val="lowerRoman"/>
      <w:start w:val="3"/>
    </w:lvl>
    <w:lvl w:ilvl="1">
      <w:lvlJc w:val="left"/>
      <w:lvlText w:val="%2."/>
      <w:numFmt w:val="decimal"/>
      <w:start w:val="22"/>
    </w:lvl>
  </w:abstractNum>
  <w:abstractNum w:abstractNumId="105">
    <w:nsid w:val="49C0E823"/>
    <w:multiLevelType w:val="hybridMultilevel"/>
    <w:lvl w:ilvl="0">
      <w:lvlJc w:val="left"/>
      <w:lvlText w:val="(%1)"/>
      <w:numFmt w:val="lowerRoman"/>
      <w:start w:val="1"/>
    </w:lvl>
  </w:abstractNum>
  <w:abstractNum w:abstractNumId="106">
    <w:nsid w:val="14D53685"/>
    <w:multiLevelType w:val="hybridMultilevel"/>
    <w:lvl w:ilvl="0">
      <w:lvlJc w:val="left"/>
      <w:lvlText w:val="1"/>
      <w:numFmt w:val="bullet"/>
      <w:start w:val="1"/>
    </w:lvl>
  </w:abstractNum>
  <w:abstractNum w:abstractNumId="107">
    <w:nsid w:val="230F856C"/>
    <w:multiLevelType w:val="hybridMultilevel"/>
    <w:lvl w:ilvl="0">
      <w:lvlJc w:val="left"/>
      <w:lvlText w:val="(%1)"/>
      <w:numFmt w:val="lowerLetter"/>
      <w:start w:val="1"/>
    </w:lvl>
  </w:abstractNum>
  <w:abstractNum w:abstractNumId="108">
    <w:nsid w:val="6EAA85FB"/>
    <w:multiLevelType w:val="hybridMultilevel"/>
    <w:lvl w:ilvl="0">
      <w:lvlJc w:val="left"/>
      <w:lvlText w:val="(%1)"/>
      <w:numFmt w:val="lowerLetter"/>
      <w:start w:val="2"/>
    </w:lvl>
  </w:abstractNum>
  <w:abstractNum w:abstractNumId="109">
    <w:nsid w:val="3F06ECB2"/>
    <w:multiLevelType w:val="hybridMultilevel"/>
    <w:lvl w:ilvl="0">
      <w:lvlJc w:val="left"/>
      <w:lvlText w:val="(%1)"/>
      <w:numFmt w:val="lowerLetter"/>
      <w:start w:val="1"/>
    </w:lvl>
  </w:abstractNum>
  <w:abstractNum w:abstractNumId="110">
    <w:nsid w:val="3B594807"/>
    <w:multiLevelType w:val="hybridMultilevel"/>
    <w:lvl w:ilvl="0">
      <w:lvlJc w:val="left"/>
      <w:lvlText w:val="(%1)"/>
      <w:numFmt w:val="lowerLetter"/>
      <w:start w:val="8"/>
    </w:lvl>
  </w:abstractNum>
  <w:abstractNum w:abstractNumId="111">
    <w:nsid w:val="6CAA2304"/>
    <w:multiLevelType w:val="hybridMultilevel"/>
    <w:lvl w:ilvl="0">
      <w:lvlJc w:val="left"/>
      <w:lvlText w:val="(%1)"/>
      <w:numFmt w:val="lowerLetter"/>
      <w:start w:val="1"/>
    </w:lvl>
    <w:lvl w:ilvl="1">
      <w:lvlJc w:val="left"/>
      <w:lvlText w:val="(%2)"/>
      <w:numFmt w:val="lowerRoman"/>
      <w:start w:val="1"/>
    </w:lvl>
  </w:abstractNum>
  <w:abstractNum w:abstractNumId="112">
    <w:nsid w:val="3F7C2FF4"/>
    <w:multiLevelType w:val="hybridMultilevel"/>
    <w:lvl w:ilvl="0">
      <w:lvlJc w:val="left"/>
      <w:lvlText w:val="(%1)"/>
      <w:numFmt w:val="lowerRoman"/>
      <w:start w:val="1"/>
    </w:lvl>
  </w:abstractNum>
  <w:abstractNum w:abstractNumId="113">
    <w:nsid w:val="25413BEC"/>
    <w:multiLevelType w:val="hybridMultilevel"/>
    <w:lvl w:ilvl="0">
      <w:lvlJc w:val="left"/>
      <w:lvlText w:val="(%1)"/>
      <w:numFmt w:val="lowerLetter"/>
      <w:start w:val="1"/>
    </w:lvl>
  </w:abstractNum>
  <w:abstractNum w:abstractNumId="114">
    <w:nsid w:val="17180B0B"/>
    <w:multiLevelType w:val="hybridMultilevel"/>
    <w:lvl w:ilvl="0">
      <w:lvlJc w:val="left"/>
      <w:lvlText w:val="(%1)"/>
      <w:numFmt w:val="lowerLetter"/>
      <w:start w:val="1"/>
    </w:lvl>
  </w:abstractNum>
  <w:abstractNum w:abstractNumId="115">
    <w:nsid w:val="579328B9"/>
    <w:multiLevelType w:val="hybridMultilevel"/>
    <w:lvl w:ilvl="0">
      <w:lvlJc w:val="left"/>
      <w:lvlText w:val="(%1)"/>
      <w:numFmt w:val="lowerLetter"/>
      <w:start w:val="2"/>
    </w:lvl>
  </w:abstractNum>
  <w:abstractNum w:abstractNumId="116">
    <w:nsid w:val="5D205E20"/>
    <w:multiLevelType w:val="hybridMultilevel"/>
    <w:lvl w:ilvl="0">
      <w:lvlJc w:val="left"/>
      <w:lvlText w:val="(%1)"/>
      <w:numFmt w:val="lowerLetter"/>
      <w:start w:val="1"/>
    </w:lvl>
  </w:abstractNum>
  <w:abstractNum w:abstractNumId="117">
    <w:nsid w:val="11CCA8BA"/>
    <w:multiLevelType w:val="hybridMultilevel"/>
    <w:lvl w:ilvl="0">
      <w:lvlJc w:val="left"/>
      <w:lvlText w:val="(%1)"/>
      <w:numFmt w:val="lowerRoman"/>
      <w:start w:val="1"/>
    </w:lvl>
  </w:abstractNum>
  <w:abstractNum w:abstractNumId="118">
    <w:nsid w:val="4D32AB86"/>
    <w:multiLevelType w:val="hybridMultilevel"/>
    <w:lvl w:ilvl="0">
      <w:lvlJc w:val="left"/>
      <w:lvlText w:val="(%1)"/>
      <w:numFmt w:val="lowerLetter"/>
      <w:start w:val="1"/>
    </w:lvl>
  </w:abstractNum>
  <w:abstractNum w:abstractNumId="119">
    <w:nsid w:val="3F07ACC3"/>
    <w:multiLevelType w:val="hybridMultilevel"/>
    <w:lvl w:ilvl="0">
      <w:lvlJc w:val="left"/>
      <w:lvlText w:val="(%1)"/>
      <w:numFmt w:val="lowerLetter"/>
      <w:start w:val="8"/>
    </w:lvl>
  </w:abstractNum>
  <w:abstractNum w:abstractNumId="120">
    <w:nsid w:val="6B47F63E"/>
    <w:multiLevelType w:val="hybridMultilevel"/>
    <w:lvl w:ilvl="0">
      <w:lvlJc w:val="left"/>
      <w:lvlText w:val="(%1)"/>
      <w:numFmt w:val="lowerLetter"/>
      <w:start w:val="2"/>
    </w:lvl>
    <w:lvl w:ilvl="1">
      <w:lvlJc w:val="left"/>
      <w:lvlText w:val="(%2)"/>
      <w:numFmt w:val="lowerRoman"/>
      <w:start w:val="1"/>
    </w:lvl>
  </w:abstractNum>
  <w:abstractNum w:abstractNumId="121">
    <w:nsid w:val="5CB44A05"/>
    <w:multiLevelType w:val="hybridMultilevel"/>
    <w:lvl w:ilvl="0">
      <w:lvlJc w:val="left"/>
      <w:lvlText w:val="(%1)"/>
      <w:numFmt w:val="lowerRoman"/>
      <w:start w:val="2"/>
    </w:lvl>
  </w:abstractNum>
  <w:abstractNum w:abstractNumId="122">
    <w:nsid w:val="16CF80F1"/>
    <w:multiLevelType w:val="hybridMultilevel"/>
    <w:lvl w:ilvl="0">
      <w:lvlJc w:val="left"/>
      <w:lvlText w:val="(%1)"/>
      <w:numFmt w:val="lowerLetter"/>
      <w:start w:val="3"/>
    </w:lvl>
  </w:abstractNum>
  <w:abstractNum w:abstractNumId="123">
    <w:nsid w:val="1C695DEC"/>
    <w:multiLevelType w:val="hybridMultilevel"/>
    <w:lvl w:ilvl="0">
      <w:lvlJc w:val="left"/>
      <w:lvlText w:val="(%1)"/>
      <w:numFmt w:val="lowerLetter"/>
      <w:start w:val="1"/>
    </w:lvl>
  </w:abstractNum>
  <w:abstractNum w:abstractNumId="124">
    <w:nsid w:val="3FCFAED9"/>
    <w:multiLevelType w:val="hybridMultilevel"/>
    <w:lvl w:ilvl="0">
      <w:lvlJc w:val="left"/>
      <w:lvlText w:val="(%1)"/>
      <w:numFmt w:val="lowerLetter"/>
      <w:start w:val="2"/>
    </w:lvl>
  </w:abstractNum>
  <w:abstractNum w:abstractNumId="125">
    <w:nsid w:val="F856867"/>
    <w:multiLevelType w:val="hybridMultilevel"/>
    <w:lvl w:ilvl="0">
      <w:lvlJc w:val="left"/>
      <w:lvlText w:val="(%1)"/>
      <w:numFmt w:val="lowerRoman"/>
      <w:start w:val="2"/>
    </w:lvl>
  </w:abstractNum>
  <w:abstractNum w:abstractNumId="126">
    <w:nsid w:val="11B1CC33"/>
    <w:multiLevelType w:val="hybridMultilevel"/>
    <w:lvl w:ilvl="0">
      <w:lvlJc w:val="left"/>
      <w:lvlText w:val="(%1)"/>
      <w:numFmt w:val="lowerRoman"/>
      <w:start w:val="1"/>
    </w:lvl>
    <w:lvl w:ilvl="1">
      <w:lvlJc w:val="left"/>
      <w:lvlText w:val="(%2)"/>
      <w:numFmt w:val="upperLetter"/>
      <w:start w:val="1"/>
    </w:lvl>
  </w:abstractNum>
  <w:abstractNum w:abstractNumId="127">
    <w:nsid w:val="2E22FBB7"/>
    <w:multiLevelType w:val="hybridMultilevel"/>
    <w:lvl w:ilvl="0">
      <w:lvlJc w:val="left"/>
      <w:lvlText w:val="(%1)"/>
      <w:numFmt w:val="lowerLetter"/>
      <w:start w:val="2"/>
    </w:lvl>
  </w:abstractNum>
  <w:abstractNum w:abstractNumId="128">
    <w:nsid w:val="2993469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9">
    <w:nsid w:val="77485850"/>
    <w:multiLevelType w:val="hybridMultilevel"/>
    <w:lvl w:ilvl="0">
      <w:lvlJc w:val="left"/>
      <w:lvlText w:val="(%1)"/>
      <w:numFmt w:val="lowerRoman"/>
      <w:start w:val="2"/>
    </w:lvl>
  </w:abstractNum>
  <w:abstractNum w:abstractNumId="130">
    <w:nsid w:val="744939A3"/>
    <w:multiLevelType w:val="hybridMultilevel"/>
    <w:lvl w:ilvl="0">
      <w:lvlJc w:val="left"/>
      <w:lvlText w:val="1"/>
      <w:numFmt w:val="bullet"/>
      <w:start w:val="1"/>
    </w:lvl>
  </w:abstractNum>
  <w:abstractNum w:abstractNumId="131">
    <w:nsid w:val="4FA0D2E3"/>
    <w:multiLevelType w:val="hybridMultilevel"/>
    <w:lvl w:ilvl="0">
      <w:lvlJc w:val="left"/>
      <w:lvlText w:val="(%1)"/>
      <w:numFmt w:val="lowerLetter"/>
      <w:start w:val="1"/>
    </w:lvl>
  </w:abstractNum>
  <w:abstractNum w:abstractNumId="132">
    <w:nsid w:val="6B1D2C14"/>
    <w:multiLevelType w:val="hybridMultilevel"/>
    <w:lvl w:ilvl="0">
      <w:lvlJc w:val="left"/>
      <w:lvlText w:val="(%1)"/>
      <w:numFmt w:val="lowerLetter"/>
      <w:start w:val="2"/>
    </w:lvl>
  </w:abstractNum>
  <w:abstractNum w:abstractNumId="133">
    <w:nsid w:val="68B867D3"/>
    <w:multiLevelType w:val="hybridMultilevel"/>
    <w:lvl w:ilvl="0">
      <w:lvlJc w:val="left"/>
      <w:lvlText w:val="(%1)"/>
      <w:numFmt w:val="lowerLetter"/>
      <w:start w:val="1"/>
    </w:lvl>
  </w:abstractNum>
  <w:abstractNum w:abstractNumId="134">
    <w:nsid w:val="3F7F5DD9"/>
    <w:multiLevelType w:val="hybridMultilevel"/>
    <w:lvl w:ilvl="0">
      <w:lvlJc w:val="left"/>
      <w:lvlText w:val="(%1)"/>
      <w:numFmt w:val="lowerLetter"/>
      <w:start w:val="4"/>
    </w:lvl>
  </w:abstractNum>
  <w:abstractNum w:abstractNumId="135">
    <w:nsid w:val="2AE05A34"/>
    <w:multiLevelType w:val="hybridMultilevel"/>
    <w:lvl w:ilvl="0">
      <w:lvlJc w:val="left"/>
      <w:lvlText w:val="(%1)"/>
      <w:numFmt w:val="lowerLetter"/>
      <w:start w:val="1"/>
    </w:lvl>
  </w:abstractNum>
  <w:abstractNum w:abstractNumId="136">
    <w:nsid w:val="32794FF7"/>
    <w:multiLevelType w:val="hybridMultilevel"/>
    <w:lvl w:ilvl="0">
      <w:lvlJc w:val="left"/>
      <w:lvlText w:val="(%1)"/>
      <w:numFmt w:val="lowerLetter"/>
      <w:start w:val="4"/>
    </w:lvl>
  </w:abstractNum>
  <w:abstractNum w:abstractNumId="137">
    <w:nsid w:val="5454945E"/>
    <w:multiLevelType w:val="hybridMultilevel"/>
    <w:lvl w:ilvl="0">
      <w:lvlJc w:val="left"/>
      <w:lvlText w:val="(%1)"/>
      <w:numFmt w:val="lowerLetter"/>
      <w:start w:val="17"/>
    </w:lvl>
  </w:abstractNum>
  <w:abstractNum w:abstractNumId="138">
    <w:nsid w:val="4DEFDFA0"/>
    <w:multiLevelType w:val="hybridMultilevel"/>
    <w:lvl w:ilvl="0">
      <w:lvlJc w:val="left"/>
      <w:lvlText w:val="(%1)"/>
      <w:numFmt w:val="lowerLetter"/>
      <w:start w:val="2"/>
    </w:lvl>
    <w:lvl w:ilvl="1">
      <w:lvlJc w:val="left"/>
      <w:lvlText w:val="(%2)"/>
      <w:numFmt w:val="lowerRoman"/>
      <w:start w:val="1"/>
    </w:lvl>
  </w:abstractNum>
  <w:abstractNum w:abstractNumId="139">
    <w:nsid w:val="2123D5F2"/>
    <w:multiLevelType w:val="hybridMultilevel"/>
    <w:lvl w:ilvl="0">
      <w:lvlJc w:val="left"/>
      <w:lvlText w:val="(%1)"/>
      <w:numFmt w:val="lowerRoman"/>
      <w:start w:val="3"/>
    </w:lvl>
  </w:abstractNum>
  <w:abstractNum w:abstractNumId="140">
    <w:nsid w:val="135B8110"/>
    <w:multiLevelType w:val="hybridMultilevel"/>
    <w:lvl w:ilvl="0">
      <w:lvlJc w:val="left"/>
      <w:lvlText w:val="(%1)"/>
      <w:numFmt w:val="lowerRoman"/>
      <w:start w:val="1"/>
    </w:lvl>
  </w:abstractNum>
  <w:abstractNum w:abstractNumId="141">
    <w:nsid w:val="94927A8"/>
    <w:multiLevelType w:val="hybridMultilevel"/>
    <w:lvl w:ilvl="0">
      <w:lvlJc w:val="left"/>
      <w:lvlText w:val="(%1)"/>
      <w:numFmt w:val="lowerLetter"/>
      <w:start w:val="1"/>
    </w:lvl>
  </w:abstractNum>
  <w:abstractNum w:abstractNumId="142">
    <w:nsid w:val="DCDF8F6"/>
    <w:multiLevelType w:val="hybridMultilevel"/>
    <w:lvl w:ilvl="0">
      <w:lvlJc w:val="left"/>
      <w:lvlText w:val="(%1)"/>
      <w:numFmt w:val="lowerLetter"/>
      <w:start w:val="1"/>
    </w:lvl>
  </w:abstractNum>
  <w:abstractNum w:abstractNumId="143">
    <w:nsid w:val="52D7B105"/>
    <w:multiLevelType w:val="hybridMultilevel"/>
    <w:lvl w:ilvl="0">
      <w:lvlJc w:val="left"/>
      <w:lvlText w:val="(%1)"/>
      <w:numFmt w:val="lowerLetter"/>
      <w:start w:val="2"/>
    </w:lvl>
  </w:abstractNum>
  <w:abstractNum w:abstractNumId="144">
    <w:nsid w:val="2E8A6394"/>
    <w:multiLevelType w:val="hybridMultilevel"/>
    <w:lvl w:ilvl="0">
      <w:lvlJc w:val="left"/>
      <w:lvlText w:val="(%1)"/>
      <w:numFmt w:val="lowerLetter"/>
      <w:start w:val="1"/>
    </w:lvl>
  </w:abstractNum>
  <w:abstractNum w:abstractNumId="145">
    <w:nsid w:val="24E60401"/>
    <w:multiLevelType w:val="hybridMultilevel"/>
    <w:lvl w:ilvl="0">
      <w:lvlJc w:val="left"/>
      <w:lvlText w:val="(%1)"/>
      <w:numFmt w:val="lowerLetter"/>
      <w:start w:val="4"/>
    </w:lvl>
  </w:abstractNum>
  <w:abstractNum w:abstractNumId="146">
    <w:nsid w:val="2A6AD9BE"/>
    <w:multiLevelType w:val="hybridMultilevel"/>
    <w:lvl w:ilvl="0">
      <w:lvlJc w:val="left"/>
      <w:lvlText w:val="(%1)"/>
      <w:numFmt w:val="lowerRoman"/>
      <w:start w:val="1"/>
    </w:lvl>
  </w:abstractNum>
  <w:abstractNum w:abstractNumId="147">
    <w:nsid w:val="BAAC1B4"/>
    <w:multiLevelType w:val="hybridMultilevel"/>
    <w:lvl w:ilvl="0">
      <w:lvlJc w:val="left"/>
      <w:lvlText w:val="(%1)"/>
      <w:numFmt w:val="lowerLetter"/>
      <w:start w:val="1"/>
    </w:lvl>
  </w:abstractNum>
  <w:abstractNum w:abstractNumId="148">
    <w:nsid w:val="36B2ACBC"/>
    <w:multiLevelType w:val="hybridMultilevel"/>
    <w:lvl w:ilvl="0">
      <w:lvlJc w:val="left"/>
      <w:lvlText w:val="(%1)"/>
      <w:numFmt w:val="lowerLetter"/>
      <w:start w:val="7"/>
    </w:lvl>
  </w:abstractNum>
  <w:abstractNum w:abstractNumId="149">
    <w:nsid w:val="779D8544"/>
    <w:multiLevelType w:val="hybridMultilevel"/>
    <w:lvl w:ilvl="0">
      <w:lvlJc w:val="left"/>
      <w:lvlText w:val="(%1)"/>
      <w:numFmt w:val="lowerLetter"/>
      <w:start w:val="2"/>
    </w:lvl>
    <w:lvl w:ilvl="1">
      <w:lvlJc w:val="left"/>
      <w:lvlText w:val="(%2)"/>
      <w:numFmt w:val="lowerLetter"/>
      <w:start w:val="9"/>
    </w:lvl>
  </w:abstractNum>
  <w:abstractNum w:abstractNumId="150">
    <w:nsid w:val="4AB26E78"/>
    <w:multiLevelType w:val="hybridMultilevel"/>
    <w:lvl w:ilvl="0">
      <w:lvlJc w:val="left"/>
      <w:lvlText w:val="(%1)"/>
      <w:numFmt w:val="lowerRoman"/>
      <w:start w:val="2"/>
    </w:lvl>
  </w:abstractNum>
  <w:abstractNum w:abstractNumId="151">
    <w:nsid w:val="21FAA2FA"/>
    <w:multiLevelType w:val="hybridMultilevel"/>
    <w:lvl w:ilvl="0">
      <w:lvlJc w:val="left"/>
      <w:lvlText w:val="(%1)"/>
      <w:numFmt w:val="lowerLetter"/>
      <w:start w:val="3"/>
    </w:lvl>
  </w:abstractNum>
  <w:abstractNum w:abstractNumId="152">
    <w:nsid w:val="5451CF49"/>
    <w:multiLevelType w:val="hybridMultilevel"/>
    <w:lvl w:ilvl="0">
      <w:lvlJc w:val="left"/>
      <w:lvlText w:val="(%1)"/>
      <w:numFmt w:val="lowerLetter"/>
      <w:start w:val="1"/>
    </w:lvl>
  </w:abstractNum>
  <w:abstractNum w:abstractNumId="153">
    <w:nsid w:val="6181EF69"/>
    <w:multiLevelType w:val="hybridMultilevel"/>
    <w:lvl w:ilvl="0">
      <w:lvlJc w:val="left"/>
      <w:lvlText w:val="(%1)"/>
      <w:numFmt w:val="lowerLetter"/>
      <w:start w:val="4"/>
    </w:lvl>
  </w:abstractNum>
  <w:abstractNum w:abstractNumId="154">
    <w:nsid w:val="3E6400E6"/>
    <w:multiLevelType w:val="hybridMultilevel"/>
    <w:lvl w:ilvl="0">
      <w:lvlJc w:val="left"/>
      <w:lvlText w:val="(%1)"/>
      <w:numFmt w:val="lowerRoman"/>
      <w:start w:val="2"/>
    </w:lvl>
  </w:abstractNum>
  <w:abstractNum w:abstractNumId="155">
    <w:nsid w:val="14217E23"/>
    <w:multiLevelType w:val="hybridMultilevel"/>
    <w:lvl w:ilvl="0">
      <w:lvlJc w:val="left"/>
      <w:lvlText w:val="(%1)"/>
      <w:numFmt w:val="lowerRoman"/>
      <w:start w:val="1"/>
    </w:lvl>
  </w:abstractNum>
  <w:abstractNum w:abstractNumId="156">
    <w:nsid w:val="710757D0"/>
    <w:multiLevelType w:val="hybridMultilevel"/>
    <w:lvl w:ilvl="0">
      <w:lvlJc w:val="left"/>
      <w:lvlText w:val="(%1)"/>
      <w:numFmt w:val="lowerRoman"/>
      <w:start w:val="2"/>
    </w:lvl>
    <w:lvl w:ilvl="1">
      <w:lvlJc w:val="left"/>
      <w:lvlText w:val="(%2)"/>
      <w:numFmt w:val="upperLetter"/>
      <w:start w:val="1"/>
    </w:lvl>
  </w:abstractNum>
  <w:abstractNum w:abstractNumId="157">
    <w:nsid w:val="5015CD1A"/>
    <w:multiLevelType w:val="hybridMultilevel"/>
    <w:lvl w:ilvl="0">
      <w:lvlJc w:val="left"/>
      <w:lvlText w:val="(%1)"/>
      <w:numFmt w:val="lowerLetter"/>
      <w:start w:val="2"/>
    </w:lvl>
    <w:lvl w:ilvl="1">
      <w:lvlJc w:val="left"/>
      <w:lvlText w:val="(%2)"/>
      <w:numFmt w:val="lowerLetter"/>
      <w:start w:val="9"/>
    </w:lvl>
  </w:abstractNum>
  <w:abstractNum w:abstractNumId="158">
    <w:nsid w:val="424479DA"/>
    <w:multiLevelType w:val="hybridMultilevel"/>
    <w:lvl w:ilvl="0">
      <w:lvlJc w:val="left"/>
      <w:lvlText w:val="(%1)"/>
      <w:numFmt w:val="lowerRoman"/>
      <w:start w:val="2"/>
    </w:lvl>
  </w:abstractNum>
  <w:abstractNum w:abstractNumId="159">
    <w:nsid w:val="1A9A9E69"/>
    <w:multiLevelType w:val="hybridMultilevel"/>
    <w:lvl w:ilvl="0">
      <w:lvlJc w:val="left"/>
      <w:lvlText w:val="%1."/>
      <w:numFmt w:val="decimal"/>
      <w:start w:val="1"/>
    </w:lvl>
  </w:abstractNum>
  <w:abstractNum w:abstractNumId="160">
    <w:nsid w:val="475E256A"/>
    <w:multiLevelType w:val="hybridMultilevel"/>
    <w:lvl w:ilvl="0">
      <w:lvlJc w:val="left"/>
      <w:lvlText w:val="%1."/>
      <w:numFmt w:val="decimal"/>
      <w:start w:val="2"/>
    </w:lvl>
  </w:abstractNum>
  <w:abstractNum w:abstractNumId="161">
    <w:nsid w:val="368DB37E"/>
    <w:multiLevelType w:val="hybridMultilevel"/>
    <w:lvl w:ilvl="0">
      <w:lvlJc w:val="left"/>
      <w:lvlText w:val="%1."/>
      <w:numFmt w:val="decimal"/>
      <w:start w:val="3"/>
    </w:lvl>
  </w:abstractNum>
  <w:abstractNum w:abstractNumId="162">
    <w:nsid w:val="6A3B714C"/>
    <w:multiLevelType w:val="hybridMultilevel"/>
    <w:lvl w:ilvl="0">
      <w:lvlJc w:val="left"/>
      <w:lvlText w:val="%1."/>
      <w:numFmt w:val="decimal"/>
      <w:start w:val="4"/>
    </w:lvl>
  </w:abstractNum>
  <w:abstractNum w:abstractNumId="163">
    <w:nsid w:val="327B517E"/>
    <w:multiLevelType w:val="hybridMultilevel"/>
    <w:lvl w:ilvl="0">
      <w:lvlJc w:val="left"/>
      <w:lvlText w:val="%1."/>
      <w:numFmt w:val="decimal"/>
      <w:start w:val="5"/>
    </w:lvl>
  </w:abstractNum>
  <w:abstractNum w:abstractNumId="164">
    <w:nsid w:val="1F461B51"/>
    <w:multiLevelType w:val="hybridMultilevel"/>
    <w:lvl w:ilvl="0">
      <w:lvlJc w:val="left"/>
      <w:lvlText w:val="%1."/>
      <w:numFmt w:val="decimal"/>
      <w:start w:val="6"/>
    </w:lvl>
  </w:abstractNum>
  <w:abstractNum w:abstractNumId="165">
    <w:nsid w:val="29BACF25"/>
    <w:multiLevelType w:val="hybridMultilevel"/>
    <w:lvl w:ilvl="0">
      <w:lvlJc w:val="left"/>
      <w:lvlText w:val="%1."/>
      <w:numFmt w:val="decimal"/>
      <w:start w:val="7"/>
    </w:lvl>
  </w:abstractNum>
  <w:abstractNum w:abstractNumId="166">
    <w:nsid w:val="5D5BABB3"/>
    <w:multiLevelType w:val="hybridMultilevel"/>
    <w:lvl w:ilvl="0">
      <w:lvlJc w:val="left"/>
      <w:lvlText w:val="%1."/>
      <w:numFmt w:val="decimal"/>
      <w:start w:val="8"/>
    </w:lvl>
  </w:abstractNum>
  <w:abstractNum w:abstractNumId="167">
    <w:nsid w:val="51BF6B48"/>
    <w:multiLevelType w:val="hybridMultilevel"/>
    <w:lvl w:ilvl="0">
      <w:lvlJc w:val="left"/>
      <w:lvlText w:val="%1."/>
      <w:numFmt w:val="decimal"/>
      <w:start w:val="9"/>
    </w:lvl>
  </w:abstractNum>
  <w:abstractNum w:abstractNumId="168">
    <w:nsid w:val="7E0F6384"/>
    <w:multiLevelType w:val="hybridMultilevel"/>
    <w:lvl w:ilvl="0">
      <w:lvlJc w:val="left"/>
      <w:lvlText w:val="%1."/>
      <w:numFmt w:val="decimal"/>
      <w:start w:val="10"/>
    </w:lvl>
  </w:abstractNum>
  <w:abstractNum w:abstractNumId="169">
    <w:nsid w:val="2B4B8B53"/>
    <w:multiLevelType w:val="hybridMultilevel"/>
    <w:lvl w:ilvl="0">
      <w:lvlJc w:val="left"/>
      <w:lvlText w:val="%1."/>
      <w:numFmt w:val="decimal"/>
      <w:start w:val="11"/>
    </w:lvl>
  </w:abstractNum>
  <w:abstractNum w:abstractNumId="170">
    <w:nsid w:val="72E3413A"/>
    <w:multiLevelType w:val="hybridMultilevel"/>
    <w:lvl w:ilvl="0">
      <w:lvlJc w:val="left"/>
      <w:lvlText w:val="%1."/>
      <w:numFmt w:val="decimal"/>
      <w:start w:val="12"/>
    </w:lvl>
  </w:abstractNum>
  <w:abstractNum w:abstractNumId="171">
    <w:nsid w:val="116AE494"/>
    <w:multiLevelType w:val="hybridMultilevel"/>
    <w:lvl w:ilvl="0">
      <w:lvlJc w:val="left"/>
      <w:lvlText w:val="%1."/>
      <w:numFmt w:val="decimal"/>
      <w:start w:val="13"/>
    </w:lvl>
  </w:abstractNum>
  <w:abstractNum w:abstractNumId="172">
    <w:nsid w:val="3494B2FB"/>
    <w:multiLevelType w:val="hybridMultilevel"/>
    <w:lvl w:ilvl="0">
      <w:lvlJc w:val="left"/>
      <w:lvlText w:val="%1."/>
      <w:numFmt w:val="decimal"/>
      <w:start w:val="14"/>
    </w:lvl>
  </w:abstractNum>
  <w:abstractNum w:abstractNumId="173">
    <w:nsid w:val="B13A31"/>
    <w:multiLevelType w:val="hybridMultilevel"/>
    <w:lvl w:ilvl="0">
      <w:lvlJc w:val="left"/>
      <w:lvlText w:val="%1."/>
      <w:numFmt w:val="decimal"/>
      <w:start w:val="15"/>
    </w:lvl>
  </w:abstractNum>
  <w:abstractNum w:abstractNumId="174">
    <w:nsid w:val="64429599"/>
    <w:multiLevelType w:val="hybridMultilevel"/>
    <w:lvl w:ilvl="0">
      <w:lvlJc w:val="left"/>
      <w:lvlText w:val="%1."/>
      <w:numFmt w:val="decimal"/>
      <w:start w:val="16"/>
    </w:lvl>
  </w:abstractNum>
  <w:abstractNum w:abstractNumId="175">
    <w:nsid w:val="631F1690"/>
    <w:multiLevelType w:val="hybridMultilevel"/>
    <w:lvl w:ilvl="0">
      <w:lvlJc w:val="left"/>
      <w:lvlText w:val="%1."/>
      <w:numFmt w:val="decimal"/>
      <w:start w:val="1"/>
    </w:lvl>
  </w:abstractNum>
  <w:abstractNum w:abstractNumId="176">
    <w:nsid w:val="25973E32"/>
    <w:multiLevelType w:val="hybridMultilevel"/>
    <w:lvl w:ilvl="0">
      <w:lvlJc w:val="left"/>
      <w:lvlText w:val="%1."/>
      <w:numFmt w:val="decimal"/>
      <w:start w:val="2"/>
    </w:lvl>
  </w:abstractNum>
  <w:abstractNum w:abstractNumId="177">
    <w:nsid w:val="EAD6F57"/>
    <w:multiLevelType w:val="hybridMultilevel"/>
    <w:lvl w:ilvl="0">
      <w:lvlJc w:val="left"/>
      <w:lvlText w:val="%1."/>
      <w:numFmt w:val="decimal"/>
      <w:start w:val="3"/>
    </w:lvl>
  </w:abstractNum>
  <w:abstractNum w:abstractNumId="178">
    <w:nsid w:val="6EC9D844"/>
    <w:multiLevelType w:val="hybridMultilevel"/>
    <w:lvl w:ilvl="0">
      <w:lvlJc w:val="left"/>
      <w:lvlText w:val="%1."/>
      <w:numFmt w:val="decimal"/>
      <w:start w:val="4"/>
    </w:lvl>
  </w:abstractNum>
  <w:abstractNum w:abstractNumId="179">
    <w:nsid w:val="5C49EAEE"/>
    <w:multiLevelType w:val="hybridMultilevel"/>
    <w:lvl w:ilvl="0">
      <w:lvlJc w:val="left"/>
      <w:lvlText w:val="%1."/>
      <w:numFmt w:val="decimal"/>
      <w:start w:val="5"/>
    </w:lvl>
  </w:abstractNum>
  <w:abstractNum w:abstractNumId="180">
    <w:nsid w:val="64AF49B"/>
    <w:multiLevelType w:val="hybridMultilevel"/>
    <w:lvl w:ilvl="0">
      <w:lvlJc w:val="left"/>
      <w:lvlText w:val="%1."/>
      <w:numFmt w:val="decimal"/>
      <w:start w:val="6"/>
    </w:lvl>
  </w:abstractNum>
  <w:abstractNum w:abstractNumId="181">
    <w:nsid w:val="397C46BC"/>
    <w:multiLevelType w:val="hybridMultilevel"/>
    <w:lvl w:ilvl="0">
      <w:lvlJc w:val="left"/>
      <w:lvlText w:val="%1."/>
      <w:numFmt w:val="decimal"/>
      <w:start w:val="7"/>
    </w:lvl>
  </w:abstractNum>
  <w:abstractNum w:abstractNumId="182">
    <w:nsid w:val="7E448DE9"/>
    <w:multiLevelType w:val="hybridMultilevel"/>
    <w:lvl w:ilvl="0">
      <w:lvlJc w:val="left"/>
      <w:lvlText w:val="%1."/>
      <w:numFmt w:val="decimal"/>
      <w:start w:val="8"/>
    </w:lvl>
  </w:abstractNum>
  <w:abstractNum w:abstractNumId="183">
    <w:nsid w:val="5A9CC3E5"/>
    <w:multiLevelType w:val="hybridMultilevel"/>
    <w:lvl w:ilvl="0">
      <w:lvlJc w:val="left"/>
      <w:lvlText w:val="%1."/>
      <w:numFmt w:val="decimal"/>
      <w:start w:val="9"/>
    </w:lvl>
  </w:abstractNum>
  <w:abstractNum w:abstractNumId="184">
    <w:nsid w:val="1AFE3625"/>
    <w:multiLevelType w:val="hybridMultilevel"/>
    <w:lvl w:ilvl="0">
      <w:lvlJc w:val="left"/>
      <w:lvlText w:val="%1."/>
      <w:numFmt w:val="decimal"/>
      <w:start w:val="10"/>
    </w:lvl>
  </w:abstractNum>
  <w:abstractNum w:abstractNumId="185">
    <w:nsid w:val="3CA88ECF"/>
    <w:multiLevelType w:val="hybridMultilevel"/>
    <w:lvl w:ilvl="0">
      <w:lvlJc w:val="left"/>
      <w:lvlText w:val="%1."/>
      <w:numFmt w:val="decimal"/>
      <w:start w:val="11"/>
    </w:lvl>
  </w:abstractNum>
  <w:abstractNum w:abstractNumId="186">
    <w:nsid w:val="6EBE4208"/>
    <w:multiLevelType w:val="hybridMultilevel"/>
    <w:lvl w:ilvl="0">
      <w:lvlJc w:val="left"/>
      <w:lvlText w:val="%1."/>
      <w:numFmt w:val="decimal"/>
      <w:start w:val="12"/>
    </w:lvl>
  </w:abstractNum>
  <w:abstractNum w:abstractNumId="187">
    <w:nsid w:val="C058DF5"/>
    <w:multiLevelType w:val="hybridMultilevel"/>
    <w:lvl w:ilvl="0">
      <w:lvlJc w:val="left"/>
      <w:lvlText w:val="%1."/>
      <w:numFmt w:val="decimal"/>
      <w:start w:val="13"/>
    </w:lvl>
  </w:abstractNum>
  <w:abstractNum w:abstractNumId="188">
    <w:nsid w:val="CBE5BE9"/>
    <w:multiLevelType w:val="hybridMultilevel"/>
    <w:lvl w:ilvl="0">
      <w:lvlJc w:val="left"/>
      <w:lvlText w:val="%1."/>
      <w:numFmt w:val="decimal"/>
      <w:start w:val="14"/>
    </w:lvl>
  </w:abstractNum>
  <w:abstractNum w:abstractNumId="189">
    <w:nsid w:val="3102BBE2"/>
    <w:multiLevelType w:val="hybridMultilevel"/>
    <w:lvl w:ilvl="0">
      <w:lvlJc w:val="left"/>
      <w:lvlText w:val="%1."/>
      <w:numFmt w:val="decimal"/>
      <w:start w:val="15"/>
    </w:lvl>
  </w:abstractNum>
  <w:abstractNum w:abstractNumId="190">
    <w:nsid w:val="26A02C5E"/>
    <w:multiLevelType w:val="hybridMultilevel"/>
    <w:lvl w:ilvl="0">
      <w:lvlJc w:val="left"/>
      <w:lvlText w:val="%1."/>
      <w:numFmt w:val="decimal"/>
      <w:start w:val="16"/>
    </w:lvl>
  </w:abstractNum>
  <w:abstractNum w:abstractNumId="191">
    <w:nsid w:val="541C8153"/>
    <w:multiLevelType w:val="hybridMultilevel"/>
    <w:lvl w:ilvl="0">
      <w:lvlJc w:val="left"/>
      <w:lvlText w:val="%1."/>
      <w:numFmt w:val="decimal"/>
      <w:start w:val="17"/>
    </w:lvl>
  </w:abstractNum>
  <w:abstractNum w:abstractNumId="192">
    <w:nsid w:val="67906F60"/>
    <w:multiLevelType w:val="hybridMultilevel"/>
    <w:lvl w:ilvl="0">
      <w:lvlJc w:val="left"/>
      <w:lvlText w:val="%1."/>
      <w:numFmt w:val="lowerRoman"/>
      <w:start w:val="1"/>
    </w:lvl>
  </w:abstractNum>
  <w:abstractNum w:abstractNumId="193">
    <w:nsid w:val="10DB9DAA"/>
    <w:multiLevelType w:val="hybridMultilevel"/>
    <w:lvl w:ilvl="0">
      <w:lvlJc w:val="left"/>
      <w:lvlText w:val="(%1)"/>
      <w:numFmt w:val="lowerRoman"/>
      <w:start w:val="5"/>
    </w:lvl>
  </w:abstractNum>
  <w:abstractNum w:abstractNumId="194">
    <w:nsid w:val="697D2D2"/>
    <w:multiLevelType w:val="hybridMultilevel"/>
    <w:lvl w:ilvl="0">
      <w:lvlJc w:val="left"/>
      <w:lvlText w:val="(%1)"/>
      <w:numFmt w:val="lowerRoman"/>
      <w:start w:val="7"/>
    </w:lvl>
  </w:abstractNum>
  <w:abstractNum w:abstractNumId="195">
    <w:nsid w:val="6D68AB2"/>
    <w:multiLevelType w:val="hybridMultilevel"/>
    <w:lvl w:ilvl="0">
      <w:lvlJc w:val="left"/>
      <w:lvlText w:val="(%1)"/>
      <w:numFmt w:val="lowerRoman"/>
      <w:start w:val="9"/>
    </w:lvl>
  </w:abstractNum>
  <w:abstractNum w:abstractNumId="196">
    <w:nsid w:val="3A966CD0"/>
    <w:multiLevelType w:val="hybridMultilevel"/>
    <w:lvl w:ilvl="0">
      <w:lvlJc w:val="left"/>
      <w:lvlText w:val="%1."/>
      <w:numFmt w:val="decimal"/>
      <w:start w:val="1"/>
    </w:lvl>
  </w:abstractNum>
  <w:abstractNum w:abstractNumId="197">
    <w:nsid w:val="63F37E85"/>
    <w:multiLevelType w:val="hybridMultilevel"/>
    <w:lvl w:ilvl="0">
      <w:lvlJc w:val="left"/>
      <w:lvlText w:val="%1."/>
      <w:numFmt w:val="decimal"/>
      <w:start w:val="2"/>
    </w:lvl>
  </w:abstractNum>
  <w:abstractNum w:abstractNumId="198">
    <w:nsid w:val="5895F5FA"/>
    <w:multiLevelType w:val="hybridMultilevel"/>
    <w:lvl w:ilvl="0">
      <w:lvlJc w:val="left"/>
      <w:lvlText w:val="%1."/>
      <w:numFmt w:val="decimal"/>
      <w:start w:val="7"/>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jpe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jpe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jpe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jpeg"/><Relationship Id="rId306" Type="http://schemas.openxmlformats.org/officeDocument/2006/relationships/image" Target="media/image289.jpeg"/><Relationship Id="rId307" Type="http://schemas.openxmlformats.org/officeDocument/2006/relationships/image" Target="media/image290.png"/><Relationship Id="rId308" Type="http://schemas.openxmlformats.org/officeDocument/2006/relationships/image" Target="media/image291.jpeg"/><Relationship Id="rId309" Type="http://schemas.openxmlformats.org/officeDocument/2006/relationships/image" Target="media/image292.jpeg"/><Relationship Id="rId310" Type="http://schemas.openxmlformats.org/officeDocument/2006/relationships/image" Target="media/image293.png"/><Relationship Id="rId311" Type="http://schemas.openxmlformats.org/officeDocument/2006/relationships/image" Target="media/image294.jpeg"/><Relationship Id="rId312" Type="http://schemas.openxmlformats.org/officeDocument/2006/relationships/image" Target="media/image295.jpeg"/><Relationship Id="rId313" Type="http://schemas.openxmlformats.org/officeDocument/2006/relationships/image" Target="media/image296.png"/><Relationship Id="rId314" Type="http://schemas.openxmlformats.org/officeDocument/2006/relationships/image" Target="media/image297.jpeg"/><Relationship Id="rId315" Type="http://schemas.openxmlformats.org/officeDocument/2006/relationships/image" Target="media/image298.jpeg"/><Relationship Id="rId316" Type="http://schemas.openxmlformats.org/officeDocument/2006/relationships/image" Target="media/image299.png"/><Relationship Id="rId317" Type="http://schemas.openxmlformats.org/officeDocument/2006/relationships/image" Target="media/image300.jpeg"/><Relationship Id="rId318" Type="http://schemas.openxmlformats.org/officeDocument/2006/relationships/image" Target="media/image301.png"/><Relationship Id="rId319" Type="http://schemas.openxmlformats.org/officeDocument/2006/relationships/image" Target="media/image302.jpeg"/><Relationship Id="rId320" Type="http://schemas.openxmlformats.org/officeDocument/2006/relationships/image" Target="media/image303.png"/><Relationship Id="rId27" Type="http://schemas.openxmlformats.org/officeDocument/2006/relationships/hyperlink" Target="http://www.sec.gov/ix?doc=/Archives/edgar/data/1785530/000178553022000014/howl-20211231.htm" TargetMode="External"/><Relationship Id="rId28" Type="http://schemas.openxmlformats.org/officeDocument/2006/relationships/hyperlink" Target="http://www.sec.gov/Archives/edgar/data/1785530/000114036122015545/edge20003258x1_def14a.htm" TargetMode="External"/><Relationship Id="rId29" Type="http://schemas.openxmlformats.org/officeDocument/2006/relationships/hyperlink" Target="http://www.sec.gov/ix?doc=/Archives/edgar/data/1785530/000178553022000021/howl-20220331.htm" TargetMode="External"/><Relationship Id="rId30" Type="http://schemas.openxmlformats.org/officeDocument/2006/relationships/hyperlink" Target="http://www.sec.gov/ix?doc=/Archives/edgar/data/1785530/000119312522099044/d335484d8k.htm" TargetMode="External"/><Relationship Id="rId31" Type="http://schemas.openxmlformats.org/officeDocument/2006/relationships/hyperlink" Target="http://www.sec.gov/ix?doc=/Archives/edgar/data/1785530/000119312522106804/d349792d8k.htm" TargetMode="External"/><Relationship Id="rId32" Type="http://schemas.openxmlformats.org/officeDocument/2006/relationships/hyperlink" Target="http://www.sec.gov/Archives/edgar/data/1785530/000119312521134162/d41037d8a12b.htm" TargetMode="External"/><Relationship Id="rId33" Type="http://schemas.openxmlformats.org/officeDocument/2006/relationships/hyperlink" Target="http://www.sec.gov/Archives/edgar/data/1785530/000178553022000014/a12312021ex43.htm" TargetMode="External"/><Relationship Id="rId112" Type="http://schemas.openxmlformats.org/officeDocument/2006/relationships/hyperlink" Target="http://www.sec.gov/Archives/edgar/data/1785530/000119312521150361/d209398dex31.htm" TargetMode="External"/><Relationship Id="rId113" Type="http://schemas.openxmlformats.org/officeDocument/2006/relationships/hyperlink" Target="http://www.sec.gov/Archives/edgar/data/1785530/000119312521150361/d209398dex32.htm" TargetMode="External"/><Relationship Id="rId114" Type="http://schemas.openxmlformats.org/officeDocument/2006/relationships/hyperlink" Target="http://www.sec.gov/Archives/edgar/data/1785530/000119312521110310/d410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2022-05-10T16:28:04Z</dcterms:created>
  <dcterms:modified xsi:type="dcterms:W3CDTF">2022-05-10T16:28:04Z</dcterms:modified>
</cp:coreProperties>
</file>