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DiRocco Derek</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Werewolf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HOWL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WEREWOLF THERAPEUTICS, INC.</w:t>
            </w: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06/01/2022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200 TALCOTT AVENUE, 2ND FLOOR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8"/>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0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w:t>
            </w:r>
          </w:p>
        </w:tc>
        <w:tc>
          <w:tcPr>
            <w:tcW w:w="80" w:type="dxa"/>
            <w:vAlign w:val="bottom"/>
          </w:tcPr>
          <w:p>
            <w:pPr>
              <w:spacing w:after="0"/>
              <w:rPr>
                <w:sz w:val="16"/>
                <w:szCs w:val="16"/>
                <w:color w:val="auto"/>
              </w:rPr>
            </w:pP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06/01/2022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11,600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05/31/2032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11,600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11,600</w:t>
            </w:r>
          </w:p>
        </w:tc>
        <w:tc>
          <w:tcPr>
            <w:tcW w:w="280" w:type="dxa"/>
            <w:vAlign w:val="bottom"/>
          </w:tcPr>
          <w:p>
            <w:pPr>
              <w:spacing w:after="0"/>
              <w:rPr>
                <w:sz w:val="16"/>
                <w:szCs w:val="16"/>
                <w:color w:val="auto"/>
              </w:rPr>
            </w:pPr>
          </w:p>
        </w:tc>
        <w:tc>
          <w:tcPr>
            <w:tcW w:w="66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June 1, 2022. The shares underlying the option vest in full on the earlier of the first anniversary of the grant date and the next annual meeting of stockholders following the grant date, subject to the reporting person's continued service as a director.</w:t>
      </w:r>
    </w:p>
    <w:p>
      <w:pPr>
        <w:spacing w:after="0" w:line="17"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the Reporting Person's arrangement with RA Capital Management, L.P. (the "Adviser"), the Reporting Person holds the stock option for the benefit of the RA Capital Healthcare Fund, L.P. (the "Fund") and RA Capital Nexus Fund II, L.P. (the "Nexus Fund II"). The Reporting Person is obligated to turn over to the Adviser any net cash or stock received upon exercise of the stock option, which will offset advisory fees owed by the Fund and the Nexus Fund II to the Adviser. The Reporting Person therefore disclaims beneficial ownership of the stock option and underlying Common Stock.</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24.1 Power of Attorney</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Owen,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06/03/2022</w:t>
            </w:r>
          </w:p>
        </w:tc>
        <w:tc>
          <w:tcPr>
            <w:tcW w:w="0" w:type="dxa"/>
            <w:vAlign w:val="bottom"/>
          </w:tcPr>
          <w:p>
            <w:pPr>
              <w:spacing w:after="0"/>
              <w:rPr>
                <w:sz w:val="1"/>
                <w:szCs w:val="1"/>
                <w:color w:val="auto"/>
              </w:rPr>
            </w:pPr>
          </w:p>
        </w:tc>
      </w:tr>
      <w:tr>
        <w:trPr>
          <w:trHeight w:val="88"/>
        </w:trPr>
        <w:tc>
          <w:tcPr>
            <w:tcW w:w="4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52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40" w:type="dxa"/>
            <w:vAlign w:val="bottom"/>
            <w:tcBorders>
              <w:bottom w:val="single" w:sz="8" w:color="auto"/>
            </w:tcBorders>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900"/>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194" w:lineRule="exact"/>
        <w:rPr>
          <w:sz w:val="20"/>
          <w:szCs w:val="20"/>
          <w:color w:val="auto"/>
        </w:rPr>
      </w:pPr>
    </w:p>
    <w:p>
      <w:pPr>
        <w:ind w:right="2059" w:firstLine="805"/>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Daniel J. Hicklin, Timothy Trost, Reid Leonard and Jonathan Owen, signing singly and each acting individually, as the undersigned's true and lawful attorney-in-fact with full power and authority as hereinafter described to:</w:t>
      </w:r>
    </w:p>
    <w:p>
      <w:pPr>
        <w:spacing w:after="0" w:line="85" w:lineRule="exact"/>
        <w:rPr>
          <w:sz w:val="20"/>
          <w:szCs w:val="20"/>
          <w:color w:val="auto"/>
        </w:rPr>
      </w:pPr>
    </w:p>
    <w:p>
      <w:pPr>
        <w:ind w:right="1959" w:firstLine="808"/>
        <w:spacing w:after="0" w:line="289" w:lineRule="auto"/>
        <w:tabs>
          <w:tab w:leader="none" w:pos="140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director and/or stockholder of Werewolf Therapeutics, Inc. (the "Company"), Forms 3, 4, and 5 (including any amendments thereto) in accordance with Section 16(a) of the Securities Exchange Act of 1934, as amended, and the rules thereunder (the "Exchange Act");</w:t>
      </w:r>
    </w:p>
    <w:p>
      <w:pPr>
        <w:spacing w:after="0" w:line="69" w:lineRule="exact"/>
        <w:rPr>
          <w:rFonts w:ascii="Courier New" w:cs="Courier New" w:eastAsia="Courier New" w:hAnsi="Courier New"/>
          <w:sz w:val="16"/>
          <w:szCs w:val="16"/>
          <w:color w:val="auto"/>
        </w:rPr>
      </w:pPr>
    </w:p>
    <w:p>
      <w:pPr>
        <w:ind w:right="1959" w:firstLine="808"/>
        <w:spacing w:after="0" w:line="254" w:lineRule="auto"/>
        <w:tabs>
          <w:tab w:leader="none" w:pos="140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99" w:lineRule="exact"/>
        <w:rPr>
          <w:rFonts w:ascii="Courier New" w:cs="Courier New" w:eastAsia="Courier New" w:hAnsi="Courier New"/>
          <w:sz w:val="17"/>
          <w:szCs w:val="17"/>
          <w:color w:val="auto"/>
        </w:rPr>
      </w:pPr>
    </w:p>
    <w:p>
      <w:pPr>
        <w:ind w:right="1959" w:firstLine="808"/>
        <w:spacing w:after="0" w:line="263" w:lineRule="auto"/>
        <w:tabs>
          <w:tab w:leader="none" w:pos="140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87" w:lineRule="exact"/>
        <w:rPr>
          <w:rFonts w:ascii="Courier New" w:cs="Courier New" w:eastAsia="Courier New" w:hAnsi="Courier New"/>
          <w:sz w:val="17"/>
          <w:szCs w:val="17"/>
          <w:color w:val="auto"/>
        </w:rPr>
      </w:pPr>
    </w:p>
    <w:p>
      <w:pPr>
        <w:ind w:right="1959" w:firstLine="808"/>
        <w:spacing w:after="0" w:line="259" w:lineRule="auto"/>
        <w:tabs>
          <w:tab w:leader="none" w:pos="140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3" w:lineRule="exact"/>
        <w:rPr>
          <w:sz w:val="20"/>
          <w:szCs w:val="20"/>
          <w:color w:val="auto"/>
        </w:rPr>
      </w:pPr>
    </w:p>
    <w:p>
      <w:pPr>
        <w:ind w:right="2059" w:firstLine="805"/>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08" w:lineRule="exact"/>
        <w:rPr>
          <w:sz w:val="20"/>
          <w:szCs w:val="20"/>
          <w:color w:val="auto"/>
        </w:rPr>
      </w:pPr>
    </w:p>
    <w:p>
      <w:pPr>
        <w:jc w:val="both"/>
        <w:ind w:right="2059" w:firstLine="805"/>
        <w:spacing w:after="0" w:line="26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1959" w:firstLine="805"/>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25 day of January, 2022.</w:t>
      </w:r>
    </w:p>
    <w:p>
      <w:pPr>
        <w:spacing w:after="0" w:line="1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 Derek DiRocco</w:t>
      </w:r>
    </w:p>
    <w:p>
      <w:pPr>
        <w:spacing w:after="0" w:line="3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Signature</w:t>
      </w:r>
    </w:p>
    <w:p>
      <w:pPr>
        <w:spacing w:after="0" w:line="164"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Derek DiRocco</w:t>
      </w:r>
    </w:p>
    <w:p>
      <w:pPr>
        <w:spacing w:after="0" w:line="3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2061" TargetMode="External"/><Relationship Id="rId13" Type="http://schemas.openxmlformats.org/officeDocument/2006/relationships/hyperlink" Target="http://www.sec.gov/cgi-bin/browse-edgar?action=getcompany&amp;CIK=0001785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2022-06-03T15:43:48Z</dcterms:created>
  <dcterms:modified xsi:type="dcterms:W3CDTF">2022-06-03T15:43:48Z</dcterms:modified>
</cp:coreProperties>
</file>