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ind w:left="20"/>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Morrison Briggs</w:t>
              </w:r>
            </w:hyperlink>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Werewolf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HOWL</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06/01/2022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WEREWOLF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200 TALCOTT AVENUE, 2ND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WATERTOWN  MA</w:t>
            </w:r>
          </w:p>
        </w:tc>
        <w:tc>
          <w:tcPr>
            <w:tcW w:w="1100" w:type="dxa"/>
            <w:vAlign w:val="bottom"/>
          </w:tcPr>
          <w:p>
            <w:pPr>
              <w:spacing w:after="0"/>
              <w:rPr>
                <w:sz w:val="20"/>
                <w:szCs w:val="20"/>
                <w:color w:val="auto"/>
              </w:rPr>
            </w:pPr>
            <w:r>
              <w:rPr>
                <w:rFonts w:ascii="Arial" w:cs="Arial" w:eastAsia="Arial" w:hAnsi="Arial"/>
                <w:sz w:val="17"/>
                <w:szCs w:val="17"/>
                <w:color w:val="0000FF"/>
              </w:rPr>
              <w:t>02472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3.43</w:t>
            </w:r>
          </w:p>
        </w:tc>
        <w:tc>
          <w:tcPr>
            <w:tcW w:w="4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0000FF"/>
              </w:rPr>
              <w:t>06/01/2022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11,600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05/31/2032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11,600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11,600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granted on June 1, 2022. The shares underlying the option vest in full on the earlier of the first anniversary of the grant date and the next annual meeting of stockholders following the grant date, subject to the reporting person's continued service as a director.</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Index: 24.1 Power of Attorney</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Jonathan Owen,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06/03/2022</w:t>
            </w: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4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ind w:left="900"/>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197" w:lineRule="exact"/>
        <w:rPr>
          <w:sz w:val="20"/>
          <w:szCs w:val="20"/>
          <w:color w:val="auto"/>
        </w:rPr>
      </w:pPr>
    </w:p>
    <w:p>
      <w:pPr>
        <w:ind w:right="2059" w:firstLine="805"/>
        <w:spacing w:after="0"/>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Daniel J. Hicklin, Timothy Trost, Reid Leonard and Jonathan Owen,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1959" w:firstLine="808"/>
        <w:spacing w:after="0" w:line="258" w:lineRule="auto"/>
        <w:tabs>
          <w:tab w:leader="none" w:pos="140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stockholder of Werewolf Therapeutics, Inc. (the "Company"), Forms 3, 4, and 5 (including any amendments thereto) in accordance with Section 16(a) of the Securities Exchange Act of 1934, as amended, and the rules thereunder (the "Exchange Act");</w:t>
      </w:r>
    </w:p>
    <w:p>
      <w:pPr>
        <w:spacing w:after="0" w:line="186" w:lineRule="exact"/>
        <w:rPr>
          <w:rFonts w:ascii="Courier New" w:cs="Courier New" w:eastAsia="Courier New" w:hAnsi="Courier New"/>
          <w:sz w:val="16"/>
          <w:szCs w:val="16"/>
          <w:color w:val="auto"/>
        </w:rPr>
      </w:pPr>
    </w:p>
    <w:p>
      <w:pPr>
        <w:ind w:right="1959" w:firstLine="808"/>
        <w:spacing w:after="0"/>
        <w:tabs>
          <w:tab w:leader="none" w:pos="140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201" w:lineRule="exact"/>
        <w:rPr>
          <w:rFonts w:ascii="Courier New" w:cs="Courier New" w:eastAsia="Courier New" w:hAnsi="Courier New"/>
          <w:sz w:val="17"/>
          <w:szCs w:val="17"/>
          <w:color w:val="auto"/>
        </w:rPr>
      </w:pPr>
    </w:p>
    <w:p>
      <w:pPr>
        <w:ind w:right="1959" w:firstLine="808"/>
        <w:spacing w:after="0"/>
        <w:tabs>
          <w:tab w:leader="none" w:pos="140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8" w:lineRule="exact"/>
        <w:rPr>
          <w:rFonts w:ascii="Courier New" w:cs="Courier New" w:eastAsia="Courier New" w:hAnsi="Courier New"/>
          <w:sz w:val="17"/>
          <w:szCs w:val="17"/>
          <w:color w:val="auto"/>
        </w:rPr>
      </w:pPr>
    </w:p>
    <w:p>
      <w:pPr>
        <w:ind w:right="1959" w:firstLine="808"/>
        <w:spacing w:after="0"/>
        <w:tabs>
          <w:tab w:leader="none" w:pos="140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059" w:firstLine="805"/>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209"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right="195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21 day of January, 2022.</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Briggs Morrison</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Briggs Morrison</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30" TargetMode="External"/><Relationship Id="rId13"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2022-06-03T15:42:48Z</dcterms:created>
  <dcterms:modified xsi:type="dcterms:W3CDTF">2022-06-03T15:42:48Z</dcterms:modified>
</cp:coreProperties>
</file>