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3899535</wp:posOffset>
            </wp:positionH>
            <wp:positionV relativeFrom="paragraph">
              <wp:posOffset>-19050</wp:posOffset>
            </wp:positionV>
            <wp:extent cx="114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8" w:lineRule="exact"/>
        <w:rPr>
          <w:sz w:val="24"/>
          <w:szCs w:val="24"/>
          <w:color w:val="auto"/>
        </w:rPr>
      </w:pPr>
    </w:p>
    <w:p>
      <w:pPr>
        <w:jc w:val="center"/>
        <w:ind w:left="340"/>
        <w:spacing w:after="0"/>
        <w:rPr>
          <w:sz w:val="20"/>
          <w:szCs w:val="20"/>
          <w:color w:val="auto"/>
        </w:rPr>
      </w:pPr>
      <w:r>
        <w:rPr>
          <w:rFonts w:ascii="Arial" w:cs="Arial" w:eastAsia="Arial" w:hAnsi="Arial"/>
          <w:sz w:val="25"/>
          <w:szCs w:val="25"/>
          <w:color w:val="auto"/>
        </w:rPr>
        <w:t>Werewolf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16510</wp:posOffset>
            </wp:positionV>
            <wp:extent cx="4920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3"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95075A107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3"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3"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80" w:firstLine="8"/>
        <w:spacing w:after="0" w:line="224" w:lineRule="exact"/>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23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235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0" w:hanging="64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PFM Health Sciences, LP</w:t>
      </w:r>
    </w:p>
    <w:p>
      <w:pPr>
        <w:spacing w:after="0" w:line="242" w:lineRule="exact"/>
        <w:rPr>
          <w:rFonts w:ascii="Arial" w:cs="Arial" w:eastAsia="Arial" w:hAnsi="Arial"/>
          <w:sz w:val="18"/>
          <w:szCs w:val="18"/>
          <w:color w:val="auto"/>
        </w:rPr>
      </w:pPr>
    </w:p>
    <w:p>
      <w:pPr>
        <w:ind w:left="1040" w:hanging="64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1040" w:hanging="64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64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rFonts w:ascii="Arial" w:cs="Arial" w:eastAsia="Arial" w:hAnsi="Arial"/>
          <w:sz w:val="18"/>
          <w:szCs w:val="18"/>
          <w:color w:val="auto"/>
        </w:rPr>
      </w:pPr>
    </w:p>
    <w:p>
      <w:pPr>
        <w:ind w:left="4360" w:hanging="579"/>
        <w:spacing w:after="0"/>
        <w:tabs>
          <w:tab w:leader="none" w:pos="4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1,517,026 shares</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tcBorders>
          </w:tcPr>
          <w:p>
            <w:pPr>
              <w:spacing w:after="0"/>
              <w:rPr>
                <w:sz w:val="10"/>
                <w:szCs w:val="10"/>
                <w:color w:val="auto"/>
              </w:rPr>
            </w:pPr>
          </w:p>
        </w:tc>
        <w:tc>
          <w:tcPr>
            <w:tcW w:w="7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7"/>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360" w:hanging="579"/>
        <w:spacing w:after="0"/>
        <w:tabs>
          <w:tab w:leader="none" w:pos="4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040" w:hanging="685"/>
        <w:spacing w:after="0" w:line="207" w:lineRule="exact"/>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040" w:hanging="6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5.5%</w:t>
      </w:r>
      <w:r>
        <w:rPr>
          <w:rFonts w:ascii="Arial" w:cs="Arial" w:eastAsia="Arial" w:hAnsi="Arial"/>
          <w:sz w:val="29"/>
          <w:szCs w:val="29"/>
          <w:b w:val="1"/>
          <w:bCs w:val="1"/>
          <w:u w:val="single" w:color="auto"/>
          <w:color w:val="auto"/>
          <w:vertAlign w:val="superscript"/>
        </w:rPr>
        <w:t>1</w:t>
      </w:r>
    </w:p>
    <w:p>
      <w:pPr>
        <w:spacing w:after="0" w:line="153" w:lineRule="exact"/>
        <w:rPr>
          <w:sz w:val="20"/>
          <w:szCs w:val="20"/>
          <w:color w:val="auto"/>
        </w:rPr>
      </w:pPr>
    </w:p>
    <w:p>
      <w:pPr>
        <w:ind w:left="1040" w:hanging="685"/>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IA; PN</w:t>
      </w:r>
    </w:p>
    <w:p>
      <w:pPr>
        <w:spacing w:after="0" w:line="399" w:lineRule="exact"/>
        <w:rPr>
          <w:rFonts w:ascii="Arial" w:cs="Arial" w:eastAsia="Arial" w:hAnsi="Arial"/>
          <w:sz w:val="18"/>
          <w:szCs w:val="18"/>
          <w:color w:val="auto"/>
        </w:rPr>
      </w:pPr>
    </w:p>
    <w:p>
      <w:pPr>
        <w:ind w:left="660" w:right="160" w:hanging="648"/>
        <w:spacing w:after="0" w:line="263" w:lineRule="auto"/>
        <w:rPr>
          <w:rFonts w:ascii="Arial" w:cs="Arial" w:eastAsia="Arial" w:hAnsi="Arial"/>
          <w:sz w:val="18"/>
          <w:szCs w:val="18"/>
          <w:color w:val="auto"/>
        </w:rPr>
      </w:pPr>
      <w:r>
        <w:rPr>
          <w:rFonts w:ascii="Arial" w:cs="Arial" w:eastAsia="Arial" w:hAnsi="Arial"/>
          <w:sz w:val="23"/>
          <w:szCs w:val="23"/>
          <w:u w:val="single" w:color="auto"/>
          <w:color w:val="auto"/>
          <w:vertAlign w:val="superscript"/>
        </w:rPr>
        <w:t>1</w:t>
      </w:r>
      <w:r>
        <w:rPr>
          <w:rFonts w:ascii="Arial" w:cs="Arial" w:eastAsia="Arial" w:hAnsi="Arial"/>
          <w:sz w:val="18"/>
          <w:szCs w:val="18"/>
          <w:color w:val="auto"/>
        </w:rPr>
        <w:t>The percentages reported in this Schedule 13G are based upon 27,654,248 shares of common stock outstanding as of April 8, 2022 (according to the issuer’s definitive proxy statement filed with the Securities and Exchange Commission on April 22, 2022). All of the other numbers and percentages reported in this Schedule 13G are as of 9:00 a.m. (ET) on the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3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597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0" w:hanging="64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PFM Health Sciences GP, LLC</w:t>
      </w:r>
    </w:p>
    <w:p>
      <w:pPr>
        <w:spacing w:after="0" w:line="242" w:lineRule="exact"/>
        <w:rPr>
          <w:rFonts w:ascii="Arial" w:cs="Arial" w:eastAsia="Arial" w:hAnsi="Arial"/>
          <w:sz w:val="18"/>
          <w:szCs w:val="18"/>
          <w:color w:val="auto"/>
        </w:rPr>
      </w:pPr>
    </w:p>
    <w:p>
      <w:pPr>
        <w:ind w:left="1040" w:hanging="64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1040" w:hanging="64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64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rFonts w:ascii="Arial" w:cs="Arial" w:eastAsia="Arial" w:hAnsi="Arial"/>
          <w:sz w:val="18"/>
          <w:szCs w:val="18"/>
          <w:color w:val="auto"/>
        </w:rPr>
      </w:pPr>
    </w:p>
    <w:p>
      <w:pPr>
        <w:ind w:left="4360" w:hanging="579"/>
        <w:spacing w:after="0"/>
        <w:tabs>
          <w:tab w:leader="none" w:pos="4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1,517,026 shares</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tcBorders>
          </w:tcPr>
          <w:p>
            <w:pPr>
              <w:spacing w:after="0"/>
              <w:rPr>
                <w:sz w:val="10"/>
                <w:szCs w:val="10"/>
                <w:color w:val="auto"/>
              </w:rPr>
            </w:pPr>
          </w:p>
        </w:tc>
        <w:tc>
          <w:tcPr>
            <w:tcW w:w="7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7"/>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360" w:hanging="579"/>
        <w:spacing w:after="0"/>
        <w:tabs>
          <w:tab w:leader="none" w:pos="4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040" w:hanging="685"/>
        <w:spacing w:after="0" w:line="207" w:lineRule="exact"/>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040" w:hanging="68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5.5%</w:t>
      </w:r>
    </w:p>
    <w:p>
      <w:pPr>
        <w:spacing w:after="0" w:line="243" w:lineRule="exact"/>
        <w:rPr>
          <w:sz w:val="20"/>
          <w:szCs w:val="20"/>
          <w:color w:val="auto"/>
        </w:rPr>
      </w:pPr>
    </w:p>
    <w:p>
      <w:pPr>
        <w:ind w:left="1040" w:hanging="68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4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597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0" w:hanging="64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Partner Asset Management, LLC</w:t>
      </w:r>
    </w:p>
    <w:p>
      <w:pPr>
        <w:spacing w:after="0" w:line="242" w:lineRule="exact"/>
        <w:rPr>
          <w:rFonts w:ascii="Arial" w:cs="Arial" w:eastAsia="Arial" w:hAnsi="Arial"/>
          <w:sz w:val="18"/>
          <w:szCs w:val="18"/>
          <w:color w:val="auto"/>
        </w:rPr>
      </w:pPr>
    </w:p>
    <w:p>
      <w:pPr>
        <w:ind w:left="1040" w:hanging="64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1040" w:hanging="64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64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rFonts w:ascii="Arial" w:cs="Arial" w:eastAsia="Arial" w:hAnsi="Arial"/>
          <w:sz w:val="18"/>
          <w:szCs w:val="18"/>
          <w:color w:val="auto"/>
        </w:rPr>
      </w:pPr>
    </w:p>
    <w:p>
      <w:pPr>
        <w:ind w:left="4360" w:hanging="579"/>
        <w:spacing w:after="0"/>
        <w:tabs>
          <w:tab w:leader="none" w:pos="4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1,517,026 shares</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tcBorders>
          </w:tcPr>
          <w:p>
            <w:pPr>
              <w:spacing w:after="0"/>
              <w:rPr>
                <w:sz w:val="10"/>
                <w:szCs w:val="10"/>
                <w:color w:val="auto"/>
              </w:rPr>
            </w:pPr>
          </w:p>
        </w:tc>
        <w:tc>
          <w:tcPr>
            <w:tcW w:w="7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7"/>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360" w:hanging="579"/>
        <w:spacing w:after="0"/>
        <w:tabs>
          <w:tab w:leader="none" w:pos="4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040" w:hanging="685"/>
        <w:spacing w:after="0" w:line="207" w:lineRule="exact"/>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040" w:hanging="68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5.5%</w:t>
      </w:r>
    </w:p>
    <w:p>
      <w:pPr>
        <w:spacing w:after="0" w:line="243" w:lineRule="exact"/>
        <w:rPr>
          <w:sz w:val="20"/>
          <w:szCs w:val="20"/>
          <w:color w:val="auto"/>
        </w:rPr>
      </w:pPr>
    </w:p>
    <w:p>
      <w:pPr>
        <w:ind w:left="1040" w:hanging="68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597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0" w:hanging="64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Brian D. Grossman</w:t>
      </w:r>
    </w:p>
    <w:p>
      <w:pPr>
        <w:spacing w:after="0" w:line="242" w:lineRule="exact"/>
        <w:rPr>
          <w:rFonts w:ascii="Arial" w:cs="Arial" w:eastAsia="Arial" w:hAnsi="Arial"/>
          <w:sz w:val="18"/>
          <w:szCs w:val="18"/>
          <w:color w:val="auto"/>
        </w:rPr>
      </w:pPr>
    </w:p>
    <w:p>
      <w:pPr>
        <w:ind w:left="1040" w:hanging="64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220"/>
        <w:spacing w:after="0" w:line="207" w:lineRule="exact"/>
        <w:tabs>
          <w:tab w:leader="none" w:pos="6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1040" w:hanging="64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64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224" w:lineRule="exact"/>
        <w:rPr>
          <w:rFonts w:ascii="Arial" w:cs="Arial" w:eastAsia="Arial" w:hAnsi="Arial"/>
          <w:sz w:val="18"/>
          <w:szCs w:val="18"/>
          <w:color w:val="auto"/>
        </w:rPr>
      </w:pPr>
    </w:p>
    <w:p>
      <w:pPr>
        <w:ind w:left="4360" w:hanging="579"/>
        <w:spacing w:after="0"/>
        <w:tabs>
          <w:tab w:leader="none" w:pos="4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1,517,026 shares</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tcBorders>
          </w:tcPr>
          <w:p>
            <w:pPr>
              <w:spacing w:after="0"/>
              <w:rPr>
                <w:sz w:val="10"/>
                <w:szCs w:val="10"/>
                <w:color w:val="auto"/>
              </w:rPr>
            </w:pPr>
          </w:p>
        </w:tc>
        <w:tc>
          <w:tcPr>
            <w:tcW w:w="7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7"/>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vMerge w:val="continue"/>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360" w:hanging="579"/>
        <w:spacing w:after="0"/>
        <w:tabs>
          <w:tab w:leader="none" w:pos="4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040" w:hanging="685"/>
        <w:spacing w:after="0" w:line="207" w:lineRule="exact"/>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040" w:hanging="68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5.5%</w:t>
      </w:r>
    </w:p>
    <w:p>
      <w:pPr>
        <w:spacing w:after="0" w:line="243" w:lineRule="exact"/>
        <w:rPr>
          <w:sz w:val="20"/>
          <w:szCs w:val="20"/>
          <w:color w:val="auto"/>
        </w:rPr>
      </w:pPr>
    </w:p>
    <w:p>
      <w:pPr>
        <w:ind w:left="1040" w:hanging="68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ind w:left="1020"/>
        <w:spacing w:after="0"/>
        <w:tabs>
          <w:tab w:leader="none" w:pos="5460" w:val="left"/>
          <w:tab w:leader="none" w:pos="7620" w:val="left"/>
        </w:tabs>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-119380</wp:posOffset>
            </wp:positionV>
            <wp:extent cx="23571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6601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15430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Werewolf Therapeutics, Inc.</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1030 Massachusetts Avenue, Suite 210, Cambridge, Massachusetts 02138</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This Schedule 13G is being jointly filed by PFM Health Sciences, LP (“PFM”), PFM Health Sciences GP, LLC (“PFM-GP”), Partner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Asset Management, LLC (“PAM”), and Brian D. Grossman (“Grossman” and, collectively with PFM, PFM-GP, and PAM, the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0"/>
              </w:rPr>
              <w:t>“Reporting Persons”) with respect to shares of common stock of the above-named issuer owned by PFM Healthcare Master Fund, L.P., a</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 limited partnership (“HCM”), and PFM Biotech Opportunities LP, a Delaware limited partnership (“BO” and,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collectively with HCM, the “Funds”).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PFM is the investment advisor for the Funds. PAM is the general partner of the Funds. PFM-GP is the general partner of PFM and the</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manager of PAM. Grossman is the sole member of PFM-GP.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address of the principal business office of each of the Reporting Persons is c/o PFM Health Sciences, LP, 475 Sansome Street,</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Suite 1720, San Francisco, California 94111.</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PFM is organized as a limited partnership under the laws of the State of Delaware. Each of PFM-GP and PAM is organized as a limited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liability company under the laws of the State of Delaware. Grossman is a U.S. 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 $0.0001 par value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95075A107</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ind w:left="1020"/>
        <w:spacing w:after="0"/>
        <w:tabs>
          <w:tab w:leader="none" w:pos="5460" w:val="left"/>
          <w:tab w:leader="none" w:pos="7620" w:val="left"/>
        </w:tabs>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-119380</wp:posOffset>
            </wp:positionV>
            <wp:extent cx="23571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571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6601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6010" cy="15430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6" w:lineRule="exact"/>
        <w:rPr>
          <w:sz w:val="20"/>
          <w:szCs w:val="20"/>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600" w:hanging="1296"/>
        <w:spacing w:after="0" w:line="223" w:lineRule="exact"/>
        <w:tabs>
          <w:tab w:leader="none" w:pos="1952"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ind w:left="1020"/>
        <w:spacing w:after="0"/>
        <w:tabs>
          <w:tab w:leader="none" w:pos="5460" w:val="left"/>
          <w:tab w:leader="none" w:pos="7620" w:val="left"/>
        </w:tabs>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-119380</wp:posOffset>
            </wp:positionV>
            <wp:extent cx="23571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571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6601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66010" cy="15430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Ownership</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rPr>
              <w:t>A.</w:t>
            </w:r>
          </w:p>
        </w:tc>
        <w:tc>
          <w:tcPr>
            <w:tcW w:w="9520" w:type="dxa"/>
            <w:vAlign w:val="bottom"/>
            <w:gridSpan w:val="3"/>
          </w:tcPr>
          <w:p>
            <w:pPr>
              <w:ind w:left="240"/>
              <w:spacing w:after="0"/>
              <w:rPr>
                <w:sz w:val="20"/>
                <w:szCs w:val="20"/>
                <w:color w:val="auto"/>
              </w:rPr>
            </w:pPr>
            <w:r>
              <w:rPr>
                <w:rFonts w:ascii="Arial" w:cs="Arial" w:eastAsia="Arial" w:hAnsi="Arial"/>
                <w:sz w:val="18"/>
                <w:szCs w:val="18"/>
                <w:color w:val="auto"/>
              </w:rPr>
              <w:t>PFM Health Sciences, LP, PFM Health Sciences GP, LLC and Partner Asset Management, LLC</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PFM, PFM-GP and PAM may be deemed to beneficially own 1,517,026 shares of Common Stock.</w:t>
            </w:r>
          </w:p>
        </w:tc>
      </w:tr>
      <w:tr>
        <w:trPr>
          <w:trHeight w:val="418"/>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w w:val="91"/>
              </w:rPr>
              <w:t>The number of shares PFM, PFM-GP and PAM may be deemed to beneficially own constitutes approximately 5.5% of</w:t>
            </w:r>
          </w:p>
        </w:tc>
      </w:tr>
      <w:tr>
        <w:trPr>
          <w:trHeight w:val="230"/>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the Common 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1,517,026</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(iv)</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 1,517,026</w:t>
            </w: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rPr>
              <w:t>B.</w:t>
            </w:r>
          </w:p>
        </w:tc>
        <w:tc>
          <w:tcPr>
            <w:tcW w:w="9520" w:type="dxa"/>
            <w:vAlign w:val="bottom"/>
            <w:gridSpan w:val="3"/>
          </w:tcPr>
          <w:p>
            <w:pPr>
              <w:ind w:left="240"/>
              <w:spacing w:after="0"/>
              <w:rPr>
                <w:sz w:val="20"/>
                <w:szCs w:val="20"/>
                <w:color w:val="auto"/>
              </w:rPr>
            </w:pPr>
            <w:r>
              <w:rPr>
                <w:rFonts w:ascii="Arial" w:cs="Arial" w:eastAsia="Arial" w:hAnsi="Arial"/>
                <w:sz w:val="18"/>
                <w:szCs w:val="18"/>
                <w:color w:val="auto"/>
              </w:rPr>
              <w:t>Brian D. Grossman</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Grossman may be deemed to beneficially own 1,517,026 shares of Common Stock.</w:t>
            </w:r>
          </w:p>
        </w:tc>
      </w:tr>
      <w:tr>
        <w:trPr>
          <w:trHeight w:val="418"/>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w w:val="92"/>
              </w:rPr>
              <w:t>The number of shares Grossman may be deemed to beneficially own constitutes approximately 5.5% of the Common</w:t>
            </w:r>
          </w:p>
        </w:tc>
      </w:tr>
      <w:tr>
        <w:trPr>
          <w:trHeight w:val="230"/>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1,517,026</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(iv)</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 1,517,026</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00" w:type="dxa"/>
            <w:vAlign w:val="bottom"/>
          </w:tcPr>
          <w:p>
            <w:pPr>
              <w:spacing w:after="0"/>
              <w:rPr>
                <w:sz w:val="15"/>
                <w:szCs w:val="15"/>
                <w:color w:val="auto"/>
              </w:rPr>
            </w:pPr>
          </w:p>
        </w:tc>
        <w:tc>
          <w:tcPr>
            <w:tcW w:w="10340" w:type="dxa"/>
            <w:vAlign w:val="bottom"/>
            <w:gridSpan w:val="4"/>
          </w:tcPr>
          <w:p>
            <w:pPr>
              <w:ind w:left="40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00" w:type="dxa"/>
            <w:vAlign w:val="bottom"/>
          </w:tcPr>
          <w:p>
            <w:pPr>
              <w:spacing w:after="0"/>
              <w:rPr>
                <w:sz w:val="24"/>
                <w:szCs w:val="24"/>
                <w:color w:val="auto"/>
              </w:rPr>
            </w:pPr>
          </w:p>
        </w:tc>
        <w:tc>
          <w:tcPr>
            <w:tcW w:w="10340" w:type="dxa"/>
            <w:vAlign w:val="bottom"/>
            <w:gridSpan w:val="4"/>
          </w:tcPr>
          <w:p>
            <w:pPr>
              <w:ind w:left="40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00" w:type="dxa"/>
            <w:vAlign w:val="bottom"/>
          </w:tcPr>
          <w:p>
            <w:pPr>
              <w:spacing w:after="0"/>
              <w:rPr>
                <w:sz w:val="19"/>
                <w:szCs w:val="19"/>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818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auto"/>
                <w:w w:val="89"/>
              </w:rPr>
              <w:t>See Item 2 above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675"/>
        </w:trPr>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8" w:name="page9"/>
    <w:bookmarkEnd w:id="8"/>
    <w:p>
      <w:pPr>
        <w:ind w:left="1020"/>
        <w:spacing w:after="0"/>
        <w:tabs>
          <w:tab w:leader="none" w:pos="5460" w:val="left"/>
          <w:tab w:leader="none" w:pos="7620" w:val="left"/>
        </w:tabs>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-119380</wp:posOffset>
            </wp:positionV>
            <wp:extent cx="23571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71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6601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6010" cy="15430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95075A107</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10 of 10 Pages</w:t>
            </w: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300" w:type="dxa"/>
            <w:vAlign w:val="bottom"/>
            <w:gridSpan w:val="2"/>
          </w:tcPr>
          <w:p>
            <w:pPr>
              <w:spacing w:after="0"/>
              <w:rPr>
                <w:sz w:val="20"/>
                <w:szCs w:val="20"/>
                <w:color w:val="auto"/>
              </w:rPr>
            </w:pPr>
            <w:r>
              <w:rPr>
                <w:rFonts w:ascii="Arial" w:cs="Arial" w:eastAsia="Arial" w:hAnsi="Arial"/>
                <w:sz w:val="18"/>
                <w:szCs w:val="18"/>
                <w:color w:val="auto"/>
              </w:rPr>
              <w:t>Dated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May, 2022.</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0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PFM HEALTH SCIENCES, LP</w:t>
            </w:r>
          </w:p>
        </w:tc>
        <w:tc>
          <w:tcPr>
            <w:tcW w:w="5940" w:type="dxa"/>
            <w:vAlign w:val="bottom"/>
            <w:gridSpan w:val="2"/>
          </w:tcPr>
          <w:p>
            <w:pPr>
              <w:ind w:left="680"/>
              <w:spacing w:after="0"/>
              <w:rPr>
                <w:sz w:val="20"/>
                <w:szCs w:val="20"/>
                <w:color w:val="auto"/>
              </w:rPr>
            </w:pPr>
            <w:r>
              <w:rPr>
                <w:rFonts w:ascii="Arial" w:cs="Arial" w:eastAsia="Arial" w:hAnsi="Arial"/>
                <w:sz w:val="18"/>
                <w:szCs w:val="18"/>
                <w:b w:val="1"/>
                <w:bCs w:val="1"/>
                <w:color w:val="auto"/>
              </w:rPr>
              <w:t>PFM HEALTH SCIENCES GP,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c>
          <w:tcPr>
            <w:tcW w:w="5940" w:type="dxa"/>
            <w:vAlign w:val="bottom"/>
            <w:gridSpan w:val="2"/>
          </w:tcPr>
          <w:p>
            <w:pPr>
              <w:ind w:left="680"/>
              <w:spacing w:after="0"/>
              <w:rPr>
                <w:sz w:val="20"/>
                <w:szCs w:val="20"/>
                <w:color w:val="auto"/>
              </w:rPr>
            </w:pPr>
            <w:r>
              <w:rPr>
                <w:rFonts w:ascii="Arial" w:cs="Arial" w:eastAsia="Arial" w:hAnsi="Arial"/>
                <w:sz w:val="18"/>
                <w:szCs w:val="18"/>
                <w:color w:val="auto"/>
              </w:rPr>
              <w:t>By:   /s/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general partner</w:t>
            </w:r>
          </w:p>
        </w:tc>
        <w:tc>
          <w:tcPr>
            <w:tcW w:w="122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Darin Sadow, Authorized Signatory</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183" w:lineRule="exact"/>
        <w:rPr>
          <w:sz w:val="20"/>
          <w:szCs w:val="20"/>
          <w:color w:val="auto"/>
        </w:rPr>
      </w:pPr>
    </w:p>
    <w:p>
      <w:pPr>
        <w:sectPr>
          <w:pgSz w:w="11900" w:h="16838" w:orient="portrait"/>
          <w:cols w:equalWidth="0" w:num="1">
            <w:col w:w="11240"/>
          </w:cols>
          <w:pgMar w:left="320" w:top="902" w:right="339" w:bottom="1440" w:gutter="0" w:footer="0" w:header="0"/>
        </w:sectPr>
      </w:pPr>
    </w:p>
    <w:p>
      <w:pPr>
        <w:spacing w:after="0"/>
        <w:rPr>
          <w:sz w:val="20"/>
          <w:szCs w:val="20"/>
          <w:color w:val="auto"/>
        </w:rPr>
      </w:pPr>
      <w:r>
        <w:rPr>
          <w:rFonts w:ascii="Arial" w:cs="Arial" w:eastAsia="Arial" w:hAnsi="Arial"/>
          <w:sz w:val="18"/>
          <w:szCs w:val="18"/>
          <w:b w:val="1"/>
          <w:bCs w:val="1"/>
          <w:color w:val="auto"/>
        </w:rPr>
        <w:t>PARTNER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r>
      <w:tr>
        <w:trPr>
          <w:trHeight w:val="230"/>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BRIAN D. GROSSMAN</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Darin Sadow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9914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6"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Darin Sadow, attorney-in-fact</w:t>
      </w:r>
      <w:r>
        <w:rPr>
          <w:rFonts w:ascii="Arial" w:cs="Arial" w:eastAsia="Arial" w:hAnsi="Arial"/>
          <w:sz w:val="29"/>
          <w:szCs w:val="29"/>
          <w:color w:val="auto"/>
          <w:vertAlign w:val="superscript"/>
        </w:rPr>
        <w:t>*</w:t>
      </w:r>
    </w:p>
    <w:p>
      <w:pPr>
        <w:spacing w:after="0" w:line="809" w:lineRule="exact"/>
        <w:rPr>
          <w:sz w:val="20"/>
          <w:szCs w:val="20"/>
          <w:color w:val="auto"/>
        </w:rPr>
      </w:pPr>
    </w:p>
    <w:p>
      <w:pPr>
        <w:sectPr>
          <w:pgSz w:w="11900" w:h="16838" w:orient="portrait"/>
          <w:cols w:equalWidth="0" w:num="2">
            <w:col w:w="5300" w:space="680"/>
            <w:col w:w="5260"/>
          </w:cols>
          <w:pgMar w:left="320" w:top="902" w:right="339" w:bottom="1440" w:gutter="0" w:footer="0" w:header="0"/>
          <w:type w:val="continuous"/>
        </w:sectPr>
      </w:pPr>
    </w:p>
    <w:p>
      <w:pPr>
        <w:spacing w:after="0" w:line="122" w:lineRule="exact"/>
        <w:rPr>
          <w:sz w:val="20"/>
          <w:szCs w:val="20"/>
          <w:color w:val="auto"/>
        </w:rPr>
      </w:pPr>
    </w:p>
    <w:p>
      <w:pPr>
        <w:ind w:left="660" w:hanging="652"/>
        <w:spacing w:after="0" w:line="219" w:lineRule="auto"/>
        <w:tabs>
          <w:tab w:leader="none" w:pos="660" w:val="left"/>
        </w:tabs>
        <w:numPr>
          <w:ilvl w:val="0"/>
          <w:numId w:val="27"/>
        </w:numPr>
        <w:rPr>
          <w:rFonts w:ascii="Arial" w:cs="Arial" w:eastAsia="Arial" w:hAnsi="Arial"/>
          <w:sz w:val="27"/>
          <w:szCs w:val="27"/>
          <w:u w:val="single" w:color="auto"/>
          <w:color w:val="auto"/>
          <w:vertAlign w:val="superscript"/>
        </w:rPr>
      </w:pPr>
      <w:r>
        <w:rPr>
          <w:rFonts w:ascii="Arial" w:cs="Arial" w:eastAsia="Arial" w:hAnsi="Arial"/>
          <w:sz w:val="18"/>
          <w:szCs w:val="18"/>
          <w:color w:val="auto"/>
        </w:rPr>
        <w:t>Darin Sadow is signing on behalf of Brian Grossman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common stock of Werewolf Therapeutics, Inc., a Delaware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May,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PFM HEALTH SCIENCES, LP</w:t>
            </w:r>
          </w:p>
        </w:tc>
        <w:tc>
          <w:tcPr>
            <w:tcW w:w="5940" w:type="dxa"/>
            <w:vAlign w:val="bottom"/>
            <w:gridSpan w:val="2"/>
          </w:tcPr>
          <w:p>
            <w:pPr>
              <w:ind w:left="680"/>
              <w:spacing w:after="0"/>
              <w:rPr>
                <w:sz w:val="20"/>
                <w:szCs w:val="20"/>
                <w:color w:val="auto"/>
              </w:rPr>
            </w:pPr>
            <w:r>
              <w:rPr>
                <w:rFonts w:ascii="Arial" w:cs="Arial" w:eastAsia="Arial" w:hAnsi="Arial"/>
                <w:sz w:val="18"/>
                <w:szCs w:val="18"/>
                <w:b w:val="1"/>
                <w:bCs w:val="1"/>
                <w:color w:val="auto"/>
              </w:rPr>
              <w:t>PFM HEALTH SCIENCES GP,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general partner</w:t>
            </w:r>
          </w:p>
        </w:tc>
        <w:tc>
          <w:tcPr>
            <w:tcW w:w="12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1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PARTNER ASSET MANAGEMENT, LLC</w:t>
            </w:r>
          </w:p>
        </w:tc>
        <w:tc>
          <w:tcPr>
            <w:tcW w:w="5940" w:type="dxa"/>
            <w:vAlign w:val="bottom"/>
            <w:gridSpan w:val="2"/>
          </w:tcPr>
          <w:p>
            <w:pPr>
              <w:ind w:left="680"/>
              <w:spacing w:after="0"/>
              <w:rPr>
                <w:sz w:val="20"/>
                <w:szCs w:val="20"/>
                <w:color w:val="auto"/>
              </w:rPr>
            </w:pPr>
            <w:r>
              <w:rPr>
                <w:rFonts w:ascii="Arial" w:cs="Arial" w:eastAsia="Arial" w:hAnsi="Arial"/>
                <w:sz w:val="18"/>
                <w:szCs w:val="18"/>
                <w:b w:val="1"/>
                <w:bCs w:val="1"/>
                <w:color w:val="auto"/>
              </w:rPr>
              <w:t>BRIAN D. GROSSMAN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manager</w:t>
            </w:r>
          </w:p>
        </w:tc>
        <w:tc>
          <w:tcPr>
            <w:tcW w:w="12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attorney-in-fact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661"/>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3"/>
    </w:lvl>
    <w:lvl w:ilvl="1">
      <w:lvlJc w:val="left"/>
      <w:lvlText w:val="%2."/>
      <w:numFmt w:val="decimal"/>
      <w:start w:val="5"/>
    </w:lvl>
  </w:abstractNum>
  <w:abstractNum w:abstractNumId="3">
    <w:nsid w:val="41A7C4C9"/>
    <w:multiLevelType w:val="hybridMultilevel"/>
    <w:lvl w:ilvl="0">
      <w:lvlJc w:val="left"/>
      <w:lvlText w:val="%1"/>
      <w:numFmt w:val="decimal"/>
      <w:start w:val="1"/>
    </w:lvl>
    <w:lvl w:ilvl="1">
      <w:lvlJc w:val="left"/>
      <w:lvlText w:val="%2."/>
      <w:numFmt w:val="decimal"/>
      <w:start w:val="8"/>
    </w:lvl>
  </w:abstractNum>
  <w:abstractNum w:abstractNumId="4">
    <w:nsid w:val="6B68079A"/>
    <w:multiLevelType w:val="hybridMultilevel"/>
    <w:lvl w:ilvl="0">
      <w:lvlJc w:val="left"/>
      <w:lvlText w:val="%1."/>
      <w:numFmt w:val="decimal"/>
      <w:start w:val="9"/>
    </w:lvl>
    <w:lvl w:ilvl="1">
      <w:lvlJc w:val="left"/>
      <w:lvlText w:val="%2"/>
      <w:numFmt w:val="decimal"/>
      <w:start w:val="1"/>
    </w:lvl>
  </w:abstractNum>
  <w:abstractNum w:abstractNumId="5">
    <w:nsid w:val="4E6AFB66"/>
    <w:multiLevelType w:val="hybridMultilevel"/>
    <w:lvl w:ilvl="0">
      <w:lvlJc w:val="left"/>
      <w:lvlText w:val="%1."/>
      <w:numFmt w:val="decimal"/>
      <w:start w:val="10"/>
    </w:lvl>
  </w:abstractNum>
  <w:abstractNum w:abstractNumId="6">
    <w:nsid w:val="25E45D32"/>
    <w:multiLevelType w:val="hybridMultilevel"/>
    <w:lvl w:ilvl="0">
      <w:lvlJc w:val="left"/>
      <w:lvlText w:val="%1"/>
      <w:numFmt w:val="decimal"/>
      <w:start w:val="1"/>
    </w:lvl>
    <w:lvl w:ilvl="1">
      <w:lvlJc w:val="left"/>
      <w:lvlText w:val="%2."/>
      <w:numFmt w:val="decimal"/>
      <w:start w:val="1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3"/>
    </w:lvl>
    <w:lvl w:ilvl="1">
      <w:lvlJc w:val="left"/>
      <w:lvlText w:val="%2."/>
      <w:numFmt w:val="decimal"/>
      <w:start w:val="5"/>
    </w:lvl>
  </w:abstractNum>
  <w:abstractNum w:abstractNumId="9">
    <w:nsid w:val="3F2DBA31"/>
    <w:multiLevelType w:val="hybridMultilevel"/>
    <w:lvl w:ilvl="0">
      <w:lvlJc w:val="left"/>
      <w:lvlText w:val="%1"/>
      <w:numFmt w:val="decimal"/>
      <w:start w:val="1"/>
    </w:lvl>
    <w:lvl w:ilvl="1">
      <w:lvlJc w:val="left"/>
      <w:lvlText w:val="%2."/>
      <w:numFmt w:val="decimal"/>
      <w:start w:val="8"/>
    </w:lvl>
  </w:abstractNum>
  <w:abstractNum w:abstractNumId="10">
    <w:nsid w:val="7C83E458"/>
    <w:multiLevelType w:val="hybridMultilevel"/>
    <w:lvl w:ilvl="0">
      <w:lvlJc w:val="left"/>
      <w:lvlText w:val="%1."/>
      <w:numFmt w:val="decimal"/>
      <w:start w:val="9"/>
    </w:lvl>
    <w:lvl w:ilvl="1">
      <w:lvlJc w:val="left"/>
      <w:lvlText w:val="%2"/>
      <w:numFmt w:val="decimal"/>
      <w:start w:val="1"/>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lvl w:ilvl="1">
      <w:lvlJc w:val="left"/>
      <w:lvlText w:val="%2."/>
      <w:numFmt w:val="decimal"/>
      <w:start w:val="5"/>
    </w:lvl>
  </w:abstractNum>
  <w:abstractNum w:abstractNumId="15">
    <w:nsid w:val="333AB105"/>
    <w:multiLevelType w:val="hybridMultilevel"/>
    <w:lvl w:ilvl="0">
      <w:lvlJc w:val="left"/>
      <w:lvlText w:val="%1"/>
      <w:numFmt w:val="decimal"/>
      <w:start w:val="1"/>
    </w:lvl>
    <w:lvl w:ilvl="1">
      <w:lvlJc w:val="left"/>
      <w:lvlText w:val="%2."/>
      <w:numFmt w:val="decimal"/>
      <w:start w:val="8"/>
    </w:lvl>
  </w:abstractNum>
  <w:abstractNum w:abstractNumId="16">
    <w:nsid w:val="721DA317"/>
    <w:multiLevelType w:val="hybridMultilevel"/>
    <w:lvl w:ilvl="0">
      <w:lvlJc w:val="left"/>
      <w:lvlText w:val="%1."/>
      <w:numFmt w:val="decimal"/>
      <w:start w:val="9"/>
    </w:lvl>
    <w:lvl w:ilvl="1">
      <w:lvlJc w:val="left"/>
      <w:lvlText w:val="%2"/>
      <w:numFmt w:val="decimal"/>
      <w:start w:val="1"/>
    </w:lvl>
  </w:abstractNum>
  <w:abstractNum w:abstractNumId="17">
    <w:nsid w:val="2443A858"/>
    <w:multiLevelType w:val="hybridMultilevel"/>
    <w:lvl w:ilvl="0">
      <w:lvlJc w:val="left"/>
      <w:lvlText w:val="%1."/>
      <w:numFmt w:val="decimal"/>
      <w:start w:val="10"/>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3"/>
    </w:lvl>
    <w:lvl w:ilvl="1">
      <w:lvlJc w:val="left"/>
      <w:lvlText w:val="%2."/>
      <w:numFmt w:val="decimal"/>
      <w:start w:val="5"/>
    </w:lvl>
  </w:abstractNum>
  <w:abstractNum w:abstractNumId="21">
    <w:nsid w:val="8EDBDAB"/>
    <w:multiLevelType w:val="hybridMultilevel"/>
    <w:lvl w:ilvl="0">
      <w:lvlJc w:val="left"/>
      <w:lvlText w:val="%1"/>
      <w:numFmt w:val="decimal"/>
      <w:start w:val="1"/>
    </w:lvl>
    <w:lvl w:ilvl="1">
      <w:lvlJc w:val="left"/>
      <w:lvlText w:val="%2."/>
      <w:numFmt w:val="decimal"/>
      <w:start w:val="8"/>
    </w:lvl>
  </w:abstractNum>
  <w:abstractNum w:abstractNumId="22">
    <w:nsid w:val="79838CB2"/>
    <w:multiLevelType w:val="hybridMultilevel"/>
    <w:lvl w:ilvl="0">
      <w:lvlJc w:val="left"/>
      <w:lvlText w:val="%1."/>
      <w:numFmt w:val="decimal"/>
      <w:start w:val="9"/>
    </w:lvl>
    <w:lvl w:ilvl="1">
      <w:lvlJc w:val="left"/>
      <w:lvlText w:val="%2"/>
      <w:numFmt w:val="decimal"/>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2"/>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2022-05-02T15:20:07Z</dcterms:created>
  <dcterms:modified xsi:type="dcterms:W3CDTF">2022-05-02T15:20:07Z</dcterms:modified>
</cp:coreProperties>
</file>