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7" w:lineRule="exact"/>
        <w:rPr>
          <w:sz w:val="24"/>
          <w:szCs w:val="24"/>
          <w:color w:val="auto"/>
        </w:rPr>
      </w:pPr>
    </w:p>
    <w:p>
      <w:pPr>
        <w:ind w:left="4300"/>
        <w:spacing w:after="0"/>
        <w:rPr>
          <w:sz w:val="20"/>
          <w:szCs w:val="20"/>
          <w:color w:val="auto"/>
        </w:rPr>
      </w:pPr>
      <w:r>
        <w:rPr>
          <w:rFonts w:ascii="Arial" w:cs="Arial" w:eastAsia="Arial" w:hAnsi="Arial"/>
          <w:sz w:val="22"/>
          <w:szCs w:val="22"/>
          <w:color w:val="auto"/>
        </w:rPr>
        <w:t>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22"/>
          <w:szCs w:val="22"/>
          <w:color w:val="auto"/>
        </w:rPr>
        <w:t>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May 10, 2022</w:t>
      </w:r>
    </w:p>
    <w:p>
      <w:pPr>
        <w:spacing w:after="0" w:line="19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WEREWOLF THERAPEUTICS,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w:t>
      </w:r>
    </w:p>
    <w:p>
      <w:pPr>
        <w:sectPr>
          <w:pgSz w:w="11900" w:h="16838" w:orient="portrait"/>
          <w:cols w:equalWidth="0" w:num="1">
            <w:col w:w="11240"/>
          </w:cols>
          <w:pgMar w:left="320" w:top="1019" w:right="3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4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001-40366</w:t>
      </w:r>
    </w:p>
    <w:p>
      <w:pPr>
        <w:spacing w:after="0" w:line="4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4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82-3523180</w:t>
      </w:r>
    </w:p>
    <w:p>
      <w:pPr>
        <w:spacing w:after="0" w:line="4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4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019" w:right="339" w:bottom="1440" w:gutter="0" w:footer="0" w:header="0"/>
          <w:type w:val="continuous"/>
        </w:sectPr>
      </w:pPr>
    </w:p>
    <w:p>
      <w:pPr>
        <w:spacing w:after="0" w:line="314"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1030 Massachusetts Ave, Ste 210</w:t>
      </w:r>
    </w:p>
    <w:p>
      <w:pPr>
        <w:spacing w:after="0" w:line="42"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Cambridge, Massachusetts</w:t>
      </w:r>
    </w:p>
    <w:p>
      <w:pPr>
        <w:spacing w:after="0" w:line="42"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7"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02138</w:t>
      </w:r>
    </w:p>
    <w:p>
      <w:pPr>
        <w:spacing w:after="0" w:line="4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1019" w:right="339" w:bottom="1440" w:gutter="0" w:footer="0" w:header="0"/>
          <w:type w:val="continuous"/>
        </w:sectPr>
      </w:pP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952-0555</w:t>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General Instruction A.2. below):</w:t>
      </w:r>
    </w:p>
    <w:p>
      <w:pPr>
        <w:spacing w:after="0" w:line="22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54" w:lineRule="exact"/>
        <w:rPr>
          <w:rFonts w:ascii="MS PGothic" w:cs="MS PGothic" w:eastAsia="MS PGothic" w:hAnsi="MS PGothic"/>
          <w:sz w:val="14"/>
          <w:szCs w:val="1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1" w:lineRule="exact"/>
        <w:rPr>
          <w:rFonts w:ascii="MS PGothic" w:cs="MS PGothic" w:eastAsia="MS PGothic" w:hAnsi="MS PGothic"/>
          <w:sz w:val="14"/>
          <w:szCs w:val="1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1" w:lineRule="exact"/>
        <w:rPr>
          <w:rFonts w:ascii="MS PGothic" w:cs="MS PGothic" w:eastAsia="MS PGothic" w:hAnsi="MS PGothic"/>
          <w:sz w:val="14"/>
          <w:szCs w:val="1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43"/>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0"/>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HOWL</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7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7" w:lineRule="exact"/>
        <w:rPr>
          <w:sz w:val="24"/>
          <w:szCs w:val="24"/>
          <w:color w:val="auto"/>
        </w:rPr>
      </w:pPr>
    </w:p>
    <w:p>
      <w:pPr>
        <w:ind w:right="5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6"/>
          <w:szCs w:val="16"/>
          <w:color w:val="auto"/>
        </w:rPr>
        <w:t>On May 10, 2022, Werewolf Therapeutics, Inc., a Delaware corporation (the “Company”), issued a press release announcing financial results for the quarter ended March 31, 2022. A copy of the press release is being furnished as Exhibit 99.1 to this Current Report on Form 8-K.</w:t>
      </w:r>
    </w:p>
    <w:p>
      <w:pPr>
        <w:spacing w:after="0" w:line="138"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The information contained in Item 2.02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 Exhibits</w:t>
            </w:r>
          </w:p>
        </w:tc>
        <w:tc>
          <w:tcPr>
            <w:tcW w:w="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21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11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0000FF"/>
              </w:rPr>
              <w:t>99.1</w:t>
            </w:r>
          </w:p>
        </w:tc>
        <w:tc>
          <w:tcPr>
            <w:tcW w:w="10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auto"/>
            </w:tcBorders>
            <w:gridSpan w:val="3"/>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0000FF"/>
              </w:rPr>
              <w:t>Press release issued by the Company on May 10, 2022</w:t>
            </w: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0000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0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25"/>
        </w:trPr>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WEREWOLF THERAPEUTICS, INC.</w:t>
      </w:r>
    </w:p>
    <w:p>
      <w:pPr>
        <w:spacing w:after="0" w:line="264" w:lineRule="exact"/>
        <w:rPr>
          <w:sz w:val="20"/>
          <w:szCs w:val="20"/>
          <w:color w:val="auto"/>
        </w:rPr>
      </w:pPr>
    </w:p>
    <w:p>
      <w:pPr>
        <w:ind w:left="20"/>
        <w:spacing w:after="0"/>
        <w:tabs>
          <w:tab w:leader="none" w:pos="3820" w:val="left"/>
          <w:tab w:leader="none" w:pos="4200" w:val="left"/>
        </w:tabs>
        <w:rPr>
          <w:sz w:val="20"/>
          <w:szCs w:val="20"/>
          <w:color w:val="auto"/>
        </w:rPr>
      </w:pPr>
      <w:r>
        <w:rPr>
          <w:rFonts w:ascii="Times New Roman" w:cs="Times New Roman" w:eastAsia="Times New Roman" w:hAnsi="Times New Roman"/>
          <w:sz w:val="16"/>
          <w:szCs w:val="16"/>
          <w:color w:val="auto"/>
        </w:rPr>
        <w:t>Date: May 10,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Timothy W. Trost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29210</wp:posOffset>
            </wp:positionV>
            <wp:extent cx="4483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3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Timothy W. Trost</w:t>
      </w:r>
    </w:p>
    <w:p>
      <w:pPr>
        <w:spacing w:after="0" w:line="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020"/>
          </w:cols>
          <w:pgMar w:left="320" w:top="1109"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714500" cy="88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8826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Werewolf Therapeutics Reports First Quarter 2022 Financial Results and Provides Business Highlights</w:t>
      </w:r>
    </w:p>
    <w:p>
      <w:pPr>
        <w:spacing w:after="0" w:line="243" w:lineRule="exact"/>
        <w:rPr>
          <w:sz w:val="20"/>
          <w:szCs w:val="20"/>
          <w:color w:val="auto"/>
        </w:rPr>
      </w:pPr>
    </w:p>
    <w:p>
      <w:pPr>
        <w:ind w:left="520" w:right="20" w:hanging="486"/>
        <w:spacing w:after="0" w:line="300" w:lineRule="auto"/>
        <w:tabs>
          <w:tab w:leader="none" w:pos="142" w:val="left"/>
        </w:tabs>
        <w:numPr>
          <w:ilvl w:val="1"/>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Entered exclusive global license and collaboration agreement with Jazz Pharmaceuticals to develop and commercialize WTX-613; received $15.0M upfront payment and eligibility for up to $1.26B in downstream milestones as well as royalties on potential future sales -</w:t>
      </w:r>
    </w:p>
    <w:p>
      <w:pPr>
        <w:spacing w:after="0" w:line="142" w:lineRule="exact"/>
        <w:rPr>
          <w:rFonts w:ascii="Times New Roman" w:cs="Times New Roman" w:eastAsia="Times New Roman" w:hAnsi="Times New Roman"/>
          <w:sz w:val="19"/>
          <w:szCs w:val="19"/>
          <w:i w:val="1"/>
          <w:iCs w:val="1"/>
          <w:color w:val="auto"/>
        </w:rPr>
      </w:pPr>
    </w:p>
    <w:p>
      <w:pPr>
        <w:ind w:left="260" w:hanging="110"/>
        <w:spacing w:after="0"/>
        <w:tabs>
          <w:tab w:leader="none" w:pos="260" w:val="left"/>
        </w:tabs>
        <w:numPr>
          <w:ilvl w:val="2"/>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Presented promising preclinical data on two lead INDUKINE™ molecules, WTX-124 and WTX-330, at AACR 2022; investigational new</w:t>
      </w:r>
    </w:p>
    <w:p>
      <w:pPr>
        <w:spacing w:after="0" w:line="25" w:lineRule="exact"/>
        <w:rPr>
          <w:rFonts w:ascii="Times New Roman" w:cs="Times New Roman" w:eastAsia="Times New Roman" w:hAnsi="Times New Roman"/>
          <w:sz w:val="20"/>
          <w:szCs w:val="20"/>
          <w:i w:val="1"/>
          <w:iCs w:val="1"/>
          <w:color w:val="auto"/>
        </w:rPr>
      </w:pPr>
    </w:p>
    <w:p>
      <w:pPr>
        <w:ind w:left="3500"/>
        <w:spacing w:after="0"/>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drug (IND) applications on track for both programs -</w:t>
      </w:r>
    </w:p>
    <w:p>
      <w:pPr>
        <w:spacing w:after="0" w:line="216" w:lineRule="exact"/>
        <w:rPr>
          <w:rFonts w:ascii="Times New Roman" w:cs="Times New Roman" w:eastAsia="Times New Roman" w:hAnsi="Times New Roman"/>
          <w:sz w:val="20"/>
          <w:szCs w:val="20"/>
          <w:i w:val="1"/>
          <w:iCs w:val="1"/>
          <w:color w:val="auto"/>
        </w:rPr>
      </w:pPr>
    </w:p>
    <w:p>
      <w:pPr>
        <w:ind w:left="140" w:hanging="125"/>
        <w:spacing w:after="0"/>
        <w:tabs>
          <w:tab w:leader="none" w:pos="140" w:val="left"/>
        </w:tabs>
        <w:numPr>
          <w:ilvl w:val="0"/>
          <w:numId w:val="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Q1 cash balance of $143.7 million; together with access to non-dilutive capital, provides runway through at least the fourth quarter of 2023</w:t>
      </w:r>
    </w:p>
    <w:p>
      <w:pPr>
        <w:spacing w:after="0" w:line="37" w:lineRule="exact"/>
        <w:rPr>
          <w:rFonts w:ascii="Times New Roman" w:cs="Times New Roman" w:eastAsia="Times New Roman" w:hAnsi="Times New Roman"/>
          <w:sz w:val="19"/>
          <w:szCs w:val="19"/>
          <w:i w:val="1"/>
          <w:iCs w:val="1"/>
          <w:color w:val="auto"/>
        </w:rPr>
      </w:pPr>
    </w:p>
    <w:p>
      <w:pPr>
        <w:ind w:left="5600"/>
        <w:spacing w:after="0"/>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20"/>
          <w:szCs w:val="20"/>
          <w:i w:val="1"/>
          <w:iCs w:val="1"/>
          <w:color w:val="auto"/>
        </w:rPr>
        <w:t>-</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Cambridge, Mass., May 10, 2022 </w:t>
      </w:r>
      <w:r>
        <w:rPr>
          <w:rFonts w:ascii="Times New Roman" w:cs="Times New Roman" w:eastAsia="Times New Roman" w:hAnsi="Times New Roman"/>
          <w:sz w:val="20"/>
          <w:szCs w:val="20"/>
          <w:color w:val="auto"/>
        </w:rPr>
        <w:t>– Werewolf Therapeutics, Inc. (the “Company” or “Werewolf”) (Nasdaq: HOWL), an innovative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biopharmaceutical company pioneering the development of conditionally activated therapeutics engineered to stimulate the body’s immune system for the treatment of cancer, today provided a business update and reported financial results for the quarter ended March 31, 2022.</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 date in 2022, we have successfully executed against corporate and strategic objectives, most notably, signing a collaboration and licensing agreement with Jazz Pharmaceuticals for the global development and commercialization of WTX-613,” said Daniel J. Hicklin, Ph.D., President and Chief Executive Officer of Werewolf Therapeutics. “Beyond supporting our conviction in the power of our innovative PREDATOR™ platform and the viability of WTX-613 as a next-generation IFNα for treatment of cancer, this agreement provides important access to non-dilutive capital, which, together with our updated term loan facility, extends our cash runway through at least the fourth quarter of 2023. Further, we remain on track as we advance towards clinical development for WTX-124 and WTX-330, while progressing our broader research portfolio in parallel.”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2022 and Recent Business Highlights</w:t>
      </w:r>
    </w:p>
    <w:p>
      <w:pPr>
        <w:spacing w:after="0" w:line="24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20"/>
          <w:szCs w:val="20"/>
          <w:b w:val="1"/>
          <w:bCs w:val="1"/>
          <w:color w:val="auto"/>
        </w:rPr>
        <w:t>Entered into exclusive global license and collaboration agreement with Jazz Pharmaceuticals to develop WTX-613</w:t>
      </w:r>
      <w:r>
        <w:rPr>
          <w:rFonts w:ascii="Times New Roman" w:cs="Times New Roman" w:eastAsia="Times New Roman" w:hAnsi="Times New Roman"/>
          <w:sz w:val="20"/>
          <w:szCs w:val="20"/>
          <w:color w:val="auto"/>
        </w:rPr>
        <w:t>: In April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Jazz and Werewolf announced that they entered into a licensing agreement under which Jazz has acquired exclusive global development and commercialization rights to Werewolf's investigational candidate WTX-613, an IFN</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2b cytokine pro-drug, currently in preclinical development for a range of cancer types. Werewolf received an upfront payment of $15.0 million from Jazz and is eligible to receive up to $520.0 million in development and regulatory milestones, and up to $740.0 million in commercial milestone payments. Pending approval, Werewolf is eligible to receive a tiered, mid-single-digit percentage royalty on net sales of WTX-613. Jazz is responsible for funding all preclinical and IND-enabling activities conducted by Werewolf for WTX-613 and is responsible for the submission of an investigational new drug application for WTX-613 and all subsequent clinical development and commercialization activities.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Presented preclinical data on two lead INDUKINE molecules at AACR</w:t>
      </w:r>
      <w:r>
        <w:rPr>
          <w:rFonts w:ascii="Times New Roman" w:cs="Times New Roman" w:eastAsia="Times New Roman" w:hAnsi="Times New Roman"/>
          <w:sz w:val="20"/>
          <w:szCs w:val="20"/>
          <w:color w:val="auto"/>
        </w:rPr>
        <w:t>: In April 2022, Werewolf presented promising preclinical data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IL-2 and IL-12 INDUKINE™ molecules, WTX-124 and WTX-330, during the American Association for Cancer Research (AACR) Annual Meeting. WTX-124 demonstrated high tumor selectivity and generated significant anti-tumor activity in a CD8+ T cell-dependent manner, and the WTX-330 surrogate demonstrated significant expansion of the therapeutic</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714500" cy="882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8826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window compared to recombinant IL-12 and generated potent anti-tumor immunity in multiple syngeneic tumor models.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Published preclinical data demonstrating efficacy of WTX-124 in delivering IL-2 selectively to the tumor microenvironment</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2022, Werewolf announced the publication of preclinical data for its lead molecule, WTX-124, in peer-reviewed Cancer Immunology Research. The article entitled, “Discovery of a conditionally activated IL-2 that promotes anti-tumor immunity and induces tumor regression,” includes preclinical data that highlights WTX-124’s design in delivering IL-2 selectively to the tumor microenvironment where it stimulates a potent anti-tumor immune response.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Entered into $40.0 million term loan facility</w:t>
      </w:r>
      <w:r>
        <w:rPr>
          <w:rFonts w:ascii="Times New Roman" w:cs="Times New Roman" w:eastAsia="Times New Roman" w:hAnsi="Times New Roman"/>
          <w:sz w:val="20"/>
          <w:szCs w:val="20"/>
          <w:color w:val="auto"/>
        </w:rPr>
        <w:t>: In April 2022, Werewolf entered into an amended term loan facility with Pacific Western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(PWB), which provides access to up to $40.0 million across two tranches, $20.0 million of which is available at Werewolf’s discretion and $20.0 million upon the acceptance by the U.S. Food and Drug Administration of two investigational new drug application submissions on or before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2022 Financial Highlights</w:t>
      </w:r>
    </w:p>
    <w:p>
      <w:pPr>
        <w:spacing w:after="0" w:line="12" w:lineRule="exact"/>
        <w:rPr>
          <w:sz w:val="20"/>
          <w:szCs w:val="20"/>
          <w:color w:val="auto"/>
        </w:rPr>
      </w:pPr>
    </w:p>
    <w:p>
      <w:pPr>
        <w:ind w:left="660" w:right="200" w:hanging="328"/>
        <w:spacing w:after="0" w:line="23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position: </w:t>
      </w:r>
      <w:r>
        <w:rPr>
          <w:rFonts w:ascii="Times New Roman" w:cs="Times New Roman" w:eastAsia="Times New Roman" w:hAnsi="Times New Roman"/>
          <w:sz w:val="20"/>
          <w:szCs w:val="20"/>
          <w:color w:val="auto"/>
        </w:rPr>
        <w:t>As of March 31, 2022, cash and cash equivalents were $143.7 million, compared to $157.5 million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2021. This quarter-end balance does not reflect $15.0 million upfront proceeds received in April from the collaboration agreement with Jazz. The Company expects that its existing cash and cash equivalents, together with the upfront payment from the Jazz agreement as well as access to the $20.0 million first tranche of its term loan agreement with PWB, will be sufficient to enable the funding of its operating expenses and capital expenditure requirements through at least the fourth quarter of 2023.</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35"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expenses: </w:t>
      </w:r>
      <w:r>
        <w:rPr>
          <w:rFonts w:ascii="Times New Roman" w:cs="Times New Roman" w:eastAsia="Times New Roman" w:hAnsi="Times New Roman"/>
          <w:sz w:val="20"/>
          <w:szCs w:val="20"/>
          <w:color w:val="auto"/>
        </w:rPr>
        <w:t>Research and development expenses were $10.9 million for the first quarter of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$4.8 million for the same period in 2021. The increase in research and development expenses was primarily due to increased manufacturing, contract research organization, and personnel expenses incurred to advance the Company’s product candidates WTX-124, WTX-330 and WTX-613 and expand research and development activities.</w:t>
      </w:r>
    </w:p>
    <w:p>
      <w:pPr>
        <w:spacing w:after="0" w:line="3"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expenses: </w:t>
      </w:r>
      <w:r>
        <w:rPr>
          <w:rFonts w:ascii="Times New Roman" w:cs="Times New Roman" w:eastAsia="Times New Roman" w:hAnsi="Times New Roman"/>
          <w:sz w:val="20"/>
          <w:szCs w:val="20"/>
          <w:color w:val="auto"/>
        </w:rPr>
        <w:t>General and administrative expenses were $4.4 million for the first quarter of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$2.6 million for the same period in 2021. The increase in general and administrative expenses was primarily due to increased personnel, professional services, and other operating costs attributable to operating as a public company.</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Net loss was $15.3 million for the first quarter of 2022, compared to $7.4 million for the same period in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Werewolf Therapeutics:</w:t>
      </w:r>
    </w:p>
    <w:p>
      <w:pPr>
        <w:spacing w:after="0" w:line="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Werewolf Therapeutics, Inc. is an innovative biopharmaceutical company pioneering the development of therapeutics engineered to stimulate the body’s immune system for the treatment of cancer. We are leveraging our proprietary PREDATOR™ platform to design conditionally activated molecules that stimulate both adaptive and innate immunity with the goal of addressing the limitations of conventional proinflammatory immune therapies. Our INDUKINE™ molecules are intended to remain inactive in peripheral tissue yet activate selectively in the tumor microenvironment. Our most advanced product candidates, WTX-124 and WTX-330, are systemically delivered, conditionally activated Interleukin-2 (IL-2), and Interleukin-12 (IL-12) INDUKINE molecules, respectively, for the treatment of solid tumors. We expect to advance both WTX-124 and WTX-330 in multiple tumor types as a single agent and in combination with an immune checkpoint inhibitor.</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714500" cy="883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8832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i w:val="1"/>
          <w:iCs w:val="1"/>
          <w:color w:val="auto"/>
        </w:rPr>
        <w:t>This press release contains forward-looking statements that involve substantial risk and uncertainties. All statements, other than statements of historical facts, contained in this press release, including statements regarding Werewolf’s strategy, future operations, prospects, plans, objectives of management, the expected timeline for entering clinical development for product candidates, the potential activity of product candidates in future preclinical and clinical studies, and its sufficiency of its cash resources constitute forward-looking statements within the meaning of The Private Securities Litigation Reform Act of 1995. The words “aim,” “anticipate,” “believe,” “contemplate,” “continue,” “could,” “designed to,” “estimate,” “expect,” “goal,” “intend,” “may,” “might,” “objective,” “ongoing,” “plan,” “potential,” “predict,” “project,” “promise,” “should,” “target,” “will,” or “would,” or the negative of these terms, or other comparable terminology are intended to identify forward-looking statements, although not all forward-looking statements contain these identifying words.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development of product candidates, including the conduct of research activities, the initiation and completion of preclinical studies and clinical trials; uncertainties as to the availability and timing of results from preclinical studies; the timing of and the Company’s ability to submit and obtain regulatory approval for investigational new drug applications; whether results from preclinical studies will be predictive of the results of later preclinical studies and clinical trials; the Company’s ability to obtain sufficient cash resources to fund the Company’s foreseeable and unforeseeable operating expenses and capital expenditure requirements; the impact of the COVID-19 pandemic on the Company’s business and operations; as well as the risks and uncertainties identified in the “Risk Factors” section of the Company’s most recent Annual Report on Form 10-K for the year ended December 31, 2021, filed with the Securities and Exchange Commission (“SEC”), and in subsequent filings the Company may make with the SEC. In addition, the forward-looking statements included in this press release represent the Company’s views as of the date of this presentation.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of this press release.</w:t>
      </w:r>
    </w:p>
    <w:p>
      <w:pPr>
        <w:sectPr>
          <w:pgSz w:w="11900" w:h="16838" w:orient="portrait"/>
          <w:cols w:equalWidth="0" w:num="1">
            <w:col w:w="11240"/>
          </w:cols>
          <w:pgMar w:left="320" w:top="1440" w:right="339" w:bottom="1440" w:gutter="0" w:footer="0" w:header="0"/>
        </w:sectPr>
      </w:pPr>
    </w:p>
    <w:bookmarkStart w:id="6" w:name="page7"/>
    <w:bookmarkEnd w:id="6"/>
    <w:p>
      <w:pPr>
        <w:ind w:left="4420"/>
        <w:spacing w:after="0"/>
        <w:rPr>
          <w:sz w:val="20"/>
          <w:szCs w:val="20"/>
          <w:color w:val="auto"/>
        </w:rPr>
      </w:pPr>
      <w:r>
        <w:rPr>
          <w:rFonts w:ascii="Times New Roman" w:cs="Times New Roman" w:eastAsia="Times New Roman" w:hAnsi="Times New Roman"/>
          <w:sz w:val="20"/>
          <w:szCs w:val="20"/>
          <w:b w:val="1"/>
          <w:bCs w:val="1"/>
          <w:color w:val="auto"/>
        </w:rPr>
        <w:t>Werewolf Therapeutics, Inc.</w:t>
      </w:r>
    </w:p>
    <w:p>
      <w:pPr>
        <w:spacing w:after="0" w:line="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per share data)</w:t>
      </w:r>
    </w:p>
    <w:p>
      <w:pPr>
        <w:spacing w:after="0" w:line="20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2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10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0" w:type="dxa"/>
            <w:vAlign w:val="bottom"/>
          </w:tcPr>
          <w:p>
            <w:pPr>
              <w:spacing w:after="0"/>
              <w:rPr>
                <w:sz w:val="1"/>
                <w:szCs w:val="1"/>
                <w:color w:val="auto"/>
              </w:rPr>
            </w:pPr>
          </w:p>
        </w:tc>
      </w:tr>
      <w:tr>
        <w:trPr>
          <w:trHeight w:val="186"/>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0" w:type="dxa"/>
            <w:vAlign w:val="bottom"/>
          </w:tcPr>
          <w:p>
            <w:pPr>
              <w:spacing w:after="0"/>
              <w:rPr>
                <w:sz w:val="1"/>
                <w:szCs w:val="1"/>
                <w:color w:val="auto"/>
              </w:rPr>
            </w:pPr>
          </w:p>
        </w:tc>
      </w:tr>
      <w:tr>
        <w:trPr>
          <w:trHeight w:val="18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1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(95,016)</w:t>
            </w:r>
          </w:p>
        </w:tc>
        <w:tc>
          <w:tcPr>
            <w:tcW w:w="0" w:type="dxa"/>
            <w:vAlign w:val="bottom"/>
          </w:tcPr>
          <w:p>
            <w:pPr>
              <w:spacing w:after="0"/>
              <w:rPr>
                <w:sz w:val="1"/>
                <w:szCs w:val="1"/>
                <w:color w:val="auto"/>
              </w:rPr>
            </w:pPr>
          </w:p>
        </w:tc>
      </w:tr>
      <w:tr>
        <w:trPr>
          <w:trHeight w:val="22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20" w:type="dxa"/>
            <w:vAlign w:val="bottom"/>
            <w:vMerge w:val="continue"/>
          </w:tcPr>
          <w:p>
            <w:pPr>
              <w:spacing w:after="0"/>
              <w:rPr>
                <w:sz w:val="14"/>
                <w:szCs w:val="14"/>
                <w:color w:val="auto"/>
              </w:rPr>
            </w:pP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4"/>
                <w:szCs w:val="1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Werewolf Therapeutics, Inc.</w:t>
      </w:r>
    </w:p>
    <w:p>
      <w:pPr>
        <w:spacing w:after="0" w:line="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Selected Condensed Consolidated Balance Sheet Data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7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196"/>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20" w:type="dxa"/>
            <w:vAlign w:val="bottom"/>
            <w:shd w:val="clear" w:color="auto" w:fill="CCEEFF"/>
          </w:tcPr>
          <w:p>
            <w:pPr>
              <w:jc w:val="right"/>
              <w:ind w:right="18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143,711</w:t>
            </w:r>
          </w:p>
        </w:tc>
        <w:tc>
          <w:tcPr>
            <w:tcW w:w="4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157,531</w:t>
            </w:r>
          </w:p>
        </w:tc>
      </w:tr>
      <w:tr>
        <w:trPr>
          <w:trHeight w:val="195"/>
        </w:trPr>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Working capital</w:t>
            </w:r>
          </w:p>
        </w:tc>
        <w:tc>
          <w:tcPr>
            <w:tcW w:w="2020" w:type="dxa"/>
            <w:vAlign w:val="bottom"/>
          </w:tcPr>
          <w:p>
            <w:pPr>
              <w:jc w:val="right"/>
              <w:ind w:right="18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134,408</w:t>
            </w:r>
          </w:p>
        </w:tc>
        <w:tc>
          <w:tcPr>
            <w:tcW w:w="4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149,194</w:t>
            </w:r>
          </w:p>
        </w:tc>
      </w:tr>
      <w:tr>
        <w:trPr>
          <w:trHeight w:val="210"/>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2020" w:type="dxa"/>
            <w:vAlign w:val="bottom"/>
            <w:shd w:val="clear" w:color="auto" w:fill="CCEEFF"/>
          </w:tcPr>
          <w:p>
            <w:pPr>
              <w:jc w:val="right"/>
              <w:ind w:right="18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164,631</w:t>
            </w:r>
          </w:p>
        </w:tc>
        <w:tc>
          <w:tcPr>
            <w:tcW w:w="4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179,250</w:t>
            </w:r>
          </w:p>
        </w:tc>
      </w:tr>
      <w:tr>
        <w:trPr>
          <w:trHeight w:val="188"/>
        </w:trPr>
        <w:tc>
          <w:tcPr>
            <w:tcW w:w="5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20" w:type="dxa"/>
            <w:vAlign w:val="bottom"/>
          </w:tcPr>
          <w:p>
            <w:pPr>
              <w:jc w:val="right"/>
              <w:ind w:right="18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139,318</w:t>
            </w:r>
          </w:p>
        </w:tc>
        <w:tc>
          <w:tcPr>
            <w:tcW w:w="4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152,787</w:t>
            </w:r>
          </w:p>
        </w:tc>
      </w:tr>
    </w:tbl>
    <w:p>
      <w:pPr>
        <w:sectPr>
          <w:pgSz w:w="11900" w:h="16838" w:orient="portrait"/>
          <w:cols w:equalWidth="0" w:num="1">
            <w:col w:w="11240"/>
          </w:cols>
          <w:pgMar w:left="320" w:top="9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Josh Rappaport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Stern 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212.362.1200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josh.rappaport@sternir.com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Amanda Sellers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VERGE Scientific Communications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301.332.5574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asellers@vergescientific.com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Contact: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Ellen Lubman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Business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Werewolf Therapeutics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elubman@werewolftx.com</w:t>
      </w:r>
    </w:p>
    <w:sectPr>
      <w:pgSz w:w="11900" w:h="16838" w:orient="portrait"/>
      <w:cols w:equalWidth="0" w:num="1">
        <w:col w:w="10139"/>
      </w:cols>
      <w:pgMar w:left="320" w:top="9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2022-05-10T06:05:10Z</dcterms:created>
  <dcterms:modified xsi:type="dcterms:W3CDTF">2022-05-10T06:05:10Z</dcterms:modified>
</cp:coreProperties>
</file>