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94253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RA CAPITAL MANAGEMENT, L.P.</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4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Werewolf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HOWL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06/01/2022</w:t>
      </w:r>
    </w:p>
    <w:p>
      <w:pPr>
        <w:spacing w:after="0" w:line="20" w:lineRule="exact"/>
        <w:rPr>
          <w:sz w:val="24"/>
          <w:szCs w:val="24"/>
          <w:color w:val="auto"/>
        </w:rPr>
      </w:pPr>
      <w:r>
        <w:rPr>
          <w:sz w:val="24"/>
          <w:szCs w:val="24"/>
          <w:color w:val="auto"/>
        </w:rPr>
        <w:br w:type="column"/>
      </w: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00" w:val="left"/>
          <w:tab w:leader="none" w:pos="1740" w:val="left"/>
          <w:tab w:leader="none" w:pos="208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0" w:lineRule="exact"/>
        <w:rPr>
          <w:sz w:val="24"/>
          <w:szCs w:val="24"/>
          <w:color w:val="auto"/>
        </w:rPr>
      </w:pPr>
    </w:p>
    <w:p>
      <w:pPr>
        <w:sectPr>
          <w:pgSz w:w="11900" w:h="16838" w:orient="portrait"/>
          <w:cols w:equalWidth="0" w:num="3">
            <w:col w:w="3180" w:space="720"/>
            <w:col w:w="3120" w:space="720"/>
            <w:col w:w="3340"/>
          </w:cols>
          <w:pgMar w:left="460" w:top="215" w:right="359" w:bottom="0" w:gutter="0" w:footer="0" w:header="0"/>
          <w:type w:val="continuous"/>
        </w:sectPr>
      </w:pP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02116</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40" w:hanging="3831"/>
        <w:spacing w:after="0" w:line="249"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5" w:lineRule="exact"/>
        <w:rPr>
          <w:sz w:val="24"/>
          <w:szCs w:val="24"/>
          <w:color w:val="auto"/>
        </w:rPr>
      </w:pPr>
    </w:p>
    <w:tbl>
      <w:tblPr>
        <w:tblLayout w:type="fixed"/>
        <w:tblInd w:w="200" w:type="dxa"/>
        <w:tblCellMar>
          <w:top w:w="0" w:type="dxa"/>
          <w:left w:w="0" w:type="dxa"/>
          <w:bottom w:w="0" w:type="dxa"/>
          <w:right w:w="0" w:type="dxa"/>
        </w:tblCellMar>
      </w:tblPr>
      <w:tr>
        <w:trPr>
          <w:trHeight w:val="166"/>
        </w:trPr>
        <w:tc>
          <w:tcPr>
            <w:tcW w:w="22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5" w:lineRule="exact"/>
        <w:rPr>
          <w:sz w:val="24"/>
          <w:szCs w:val="24"/>
          <w:color w:val="auto"/>
        </w:rPr>
      </w:pPr>
    </w:p>
    <w:p>
      <w:pPr>
        <w:sectPr>
          <w:pgSz w:w="11900" w:h="16838" w:orient="portrait"/>
          <w:cols w:equalWidth="0" w:num="2">
            <w:col w:w="7020" w:space="720"/>
            <w:col w:w="33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0"/>
                <w:szCs w:val="10"/>
                <w:color w:val="auto"/>
              </w:rPr>
            </w:pP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 footnotes</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2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3.43</w:t>
            </w:r>
          </w:p>
        </w:tc>
        <w:tc>
          <w:tcPr>
            <w:tcW w:w="20" w:type="dxa"/>
            <w:vAlign w:val="bottom"/>
          </w:tcPr>
          <w:p>
            <w:pPr>
              <w:spacing w:after="0"/>
              <w:rPr>
                <w:sz w:val="16"/>
                <w:szCs w:val="16"/>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06/01/2022</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11,600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05/31/2032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11,600</w:t>
            </w:r>
          </w:p>
        </w:tc>
        <w:tc>
          <w:tcPr>
            <w:tcW w:w="66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11,600</w:t>
            </w:r>
          </w:p>
        </w:tc>
        <w:tc>
          <w:tcPr>
            <w:tcW w:w="7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8" w:lineRule="exact"/>
              <w:rPr>
                <w:sz w:val="20"/>
                <w:szCs w:val="20"/>
                <w:color w:val="auto"/>
              </w:rPr>
            </w:pPr>
            <w:r>
              <w:rPr>
                <w:rFonts w:ascii="Times New Roman" w:cs="Times New Roman" w:eastAsia="Times New Roman" w:hAnsi="Times New Roman"/>
                <w:sz w:val="9"/>
                <w:szCs w:val="9"/>
                <w:color w:val="0000FF"/>
              </w:rPr>
              <w:t>(Right to</w:t>
            </w: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88" w:lineRule="exact"/>
              <w:rPr>
                <w:sz w:val="20"/>
                <w:szCs w:val="20"/>
                <w:color w:val="auto"/>
              </w:rPr>
            </w:pPr>
            <w:r>
              <w:rPr>
                <w:rFonts w:ascii="Times New Roman" w:cs="Times New Roman" w:eastAsia="Times New Roman" w:hAnsi="Times New Roman"/>
                <w:sz w:val="9"/>
                <w:szCs w:val="9"/>
                <w:color w:val="0000FF"/>
              </w:rPr>
              <w:t>Stock</w:t>
            </w: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5"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4"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RA CAPITAL MANAGEMENT,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02116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8"/>
          </w:tcPr>
          <w:p>
            <w:pPr>
              <w:ind w:left="20"/>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RA Capital Healthcare Fund LP</w:t>
              </w:r>
            </w:hyperlink>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02116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380" w:type="dxa"/>
            <w:vAlign w:val="bottom"/>
            <w:tcBorders>
              <w:bottom w:val="single" w:sz="8" w:color="2C2C2C"/>
            </w:tcBorders>
            <w:gridSpan w:val="2"/>
          </w:tcPr>
          <w:p>
            <w:pPr>
              <w:spacing w:after="0"/>
              <w:rPr>
                <w:sz w:val="6"/>
                <w:szCs w:val="6"/>
                <w:color w:val="auto"/>
              </w:rPr>
            </w:pPr>
          </w:p>
        </w:tc>
        <w:tc>
          <w:tcPr>
            <w:tcW w:w="1040" w:type="dxa"/>
            <w:vAlign w:val="bottom"/>
            <w:tcBorders>
              <w:bottom w:val="single" w:sz="8" w:color="2C2C2C"/>
            </w:tcBorders>
            <w:gridSpan w:val="2"/>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4"/>
          </w:tcPr>
          <w:p>
            <w:pPr>
              <w:ind w:left="20"/>
              <w:spacing w:after="0" w:line="214" w:lineRule="exact"/>
              <w:rPr>
                <w:rFonts w:ascii="Times New Roman" w:cs="Times New Roman" w:eastAsia="Times New Roman" w:hAnsi="Times New Roman"/>
                <w:sz w:val="20"/>
                <w:szCs w:val="20"/>
                <w:color w:val="0000EE"/>
                <w:w w:val="99"/>
              </w:rPr>
            </w:pPr>
            <w:hyperlink r:id="rId15">
              <w:r>
                <w:rPr>
                  <w:rFonts w:ascii="Times New Roman" w:cs="Times New Roman" w:eastAsia="Times New Roman" w:hAnsi="Times New Roman"/>
                  <w:sz w:val="20"/>
                  <w:szCs w:val="20"/>
                  <w:color w:val="0000EE"/>
                  <w:w w:val="99"/>
                </w:rPr>
                <w:t>Kolchinsky Peter</w:t>
              </w:r>
            </w:hyperlink>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C/O RA CAPITAL MANAGEMENT, L.P.</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6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200 BERKELEY STREET 18TH FLOOR</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020" w:type="dxa"/>
            <w:vAlign w:val="bottom"/>
          </w:tcPr>
          <w:p>
            <w:pPr>
              <w:spacing w:after="0"/>
              <w:rPr>
                <w:sz w:val="20"/>
                <w:szCs w:val="20"/>
                <w:color w:val="auto"/>
              </w:rPr>
            </w:pPr>
            <w:r>
              <w:rPr>
                <w:rFonts w:ascii="Times New Roman" w:cs="Times New Roman" w:eastAsia="Times New Roman" w:hAnsi="Times New Roman"/>
                <w:sz w:val="16"/>
                <w:szCs w:val="16"/>
                <w:color w:val="0000FF"/>
              </w:rPr>
              <w:t>MA</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02116</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215" w:right="359" w:bottom="0" w:gutter="0" w:footer="0" w:header="0"/>
          <w:type w:val="continuous"/>
        </w:sectPr>
      </w:pPr>
    </w:p>
    <w:p>
      <w:pPr>
        <w:spacing w:after="0" w:line="9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41"/>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-133350</wp:posOffset>
            </wp:positionV>
            <wp:extent cx="2810510" cy="1669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10510" cy="1669415"/>
                    </a:xfrm>
                    <a:prstGeom prst="rect">
                      <a:avLst/>
                    </a:prstGeom>
                    <a:noFill/>
                  </pic:spPr>
                </pic:pic>
              </a:graphicData>
            </a:graphic>
          </wp:anchor>
        </w:drawing>
      </w:r>
    </w:p>
    <w:p>
      <w:pPr>
        <w:ind w:left="81"/>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Shah Rajeev M.</w:t>
        </w:r>
      </w:hyperlink>
    </w:p>
    <w:p>
      <w:pPr>
        <w:spacing w:after="0" w:line="290" w:lineRule="exact"/>
        <w:rPr>
          <w:sz w:val="20"/>
          <w:szCs w:val="20"/>
          <w:color w:val="auto"/>
        </w:rPr>
      </w:pPr>
    </w:p>
    <w:p>
      <w:pPr>
        <w:ind w:left="81"/>
        <w:spacing w:after="0"/>
        <w:tabs>
          <w:tab w:leader="none" w:pos="1461" w:val="left"/>
          <w:tab w:leader="none" w:pos="2861"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6"/>
          <w:szCs w:val="16"/>
          <w:color w:val="0000FF"/>
        </w:rPr>
        <w:t>C/O RA CAPITAL MANAGEMENT, L.P.</w:t>
      </w:r>
    </w:p>
    <w:p>
      <w:pPr>
        <w:spacing w:after="0" w:line="68" w:lineRule="exact"/>
        <w:rPr>
          <w:sz w:val="20"/>
          <w:szCs w:val="20"/>
          <w:color w:val="auto"/>
        </w:rPr>
      </w:pPr>
    </w:p>
    <w:p>
      <w:pPr>
        <w:ind w:left="81"/>
        <w:spacing w:after="0"/>
        <w:rPr>
          <w:sz w:val="20"/>
          <w:szCs w:val="20"/>
          <w:color w:val="auto"/>
        </w:rPr>
      </w:pPr>
      <w:r>
        <w:rPr>
          <w:rFonts w:ascii="Times New Roman" w:cs="Times New Roman" w:eastAsia="Times New Roman" w:hAnsi="Times New Roman"/>
          <w:sz w:val="16"/>
          <w:szCs w:val="16"/>
          <w:color w:val="0000FF"/>
        </w:rPr>
        <w:t>200 BERKELEY STREET 18TH FLOOR</w:t>
      </w:r>
    </w:p>
    <w:p>
      <w:pPr>
        <w:spacing w:after="0" w:line="282" w:lineRule="exact"/>
        <w:rPr>
          <w:sz w:val="20"/>
          <w:szCs w:val="20"/>
          <w:color w:val="auto"/>
        </w:rPr>
      </w:pPr>
    </w:p>
    <w:tbl>
      <w:tblPr>
        <w:tblLayout w:type="fixed"/>
        <w:tblInd w:w="41" w:type="dxa"/>
        <w:tblCellMar>
          <w:top w:w="0" w:type="dxa"/>
          <w:left w:w="0" w:type="dxa"/>
          <w:bottom w:w="0" w:type="dxa"/>
          <w:right w:w="0" w:type="dxa"/>
        </w:tblCellMar>
      </w:tblPr>
      <w:tr>
        <w:trPr>
          <w:trHeight w:val="16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BOSTON</w:t>
            </w:r>
          </w:p>
        </w:tc>
        <w:tc>
          <w:tcPr>
            <w:tcW w:w="126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MA</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02116</w:t>
            </w:r>
          </w:p>
        </w:tc>
      </w:tr>
      <w:tr>
        <w:trPr>
          <w:trHeight w:val="144"/>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4"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 w:hanging="1"/>
        <w:spacing w:after="0" w:line="236"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and RA Capital Nexus Fund II, L.P. (the "Nexus Fund II"). The general partner of the Adviser is RA Capital Management GP, LLC (the "Adviser GP"), of which Dr. Peter Kolchinsky and Mr. Rajeev Shah are the managing members. The Adviser, the Adviser GP, Dr. Kolchinsky, and Mr. Shah disclaim beneficial ownership of any of the reported securities, except to the extent of their pecuniary interest therein.</w:t>
      </w:r>
    </w:p>
    <w:p>
      <w:pPr>
        <w:spacing w:after="0" w:line="25" w:lineRule="exact"/>
        <w:rPr>
          <w:rFonts w:ascii="Times New Roman" w:cs="Times New Roman" w:eastAsia="Times New Roman" w:hAnsi="Times New Roman"/>
          <w:sz w:val="13"/>
          <w:szCs w:val="13"/>
          <w:color w:val="008000"/>
        </w:rPr>
      </w:pPr>
    </w:p>
    <w:p>
      <w:pPr>
        <w:ind w:left="1" w:right="80" w:hanging="1"/>
        <w:spacing w:after="0" w:line="246"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the first anniversary of the grant date and the next annual meeting of stockholders following the grant date, subject to Mr. Derek DiRocco, a Partner of the Adviser who serves on the Issuer's board of directors, continued service as a director.</w:t>
      </w:r>
    </w:p>
    <w:p>
      <w:pPr>
        <w:spacing w:after="0" w:line="21" w:lineRule="exact"/>
        <w:rPr>
          <w:rFonts w:ascii="Times New Roman" w:cs="Times New Roman" w:eastAsia="Times New Roman" w:hAnsi="Times New Roman"/>
          <w:sz w:val="13"/>
          <w:szCs w:val="13"/>
          <w:color w:val="008000"/>
        </w:rPr>
      </w:pPr>
    </w:p>
    <w:p>
      <w:pPr>
        <w:ind w:left="1" w:right="300" w:hanging="1"/>
        <w:spacing w:after="0" w:line="236"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Mr. DiRocco's arrangement with the Adviser, Mr. DiRocco holds the option for the benefit of the Fund and the Nexus Fund II. Mr. DiRocco is obligated to turn over to the Adviser any net cash or stock received upon exercise of the option, which will offset advisory fees owed by the Fund and the Nexus Fund II to the Adviser. The Reporting Persons therefore disclaim beneficial ownership of the option and underlying common stock.</w:t>
      </w:r>
    </w:p>
    <w:p>
      <w:pPr>
        <w:spacing w:after="0" w:line="2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008000"/>
        </w:rPr>
        <w:t>Mr. Derek DiRocco, a Partner of the Adviser, serves on the Issuer's board of directors.</w:t>
      </w:r>
    </w:p>
    <w:p>
      <w:pPr>
        <w:sectPr>
          <w:pgSz w:w="11900" w:h="16838" w:orient="portrait"/>
          <w:cols w:equalWidth="0" w:num="1">
            <w:col w:w="10901"/>
          </w:cols>
          <w:pgMar w:left="499" w:top="121" w:right="499" w:bottom="1440" w:gutter="0" w:footer="0" w:header="0"/>
        </w:sectPr>
      </w:pPr>
    </w:p>
    <w:p>
      <w:pPr>
        <w:spacing w:after="0" w:line="65"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12585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of RA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366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1258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of 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3004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317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2134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161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8629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0"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-12065</wp:posOffset>
            </wp:positionV>
            <wp:extent cx="5029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36" w:lineRule="exact"/>
        <w:rPr>
          <w:sz w:val="20"/>
          <w:szCs w:val="20"/>
          <w:color w:val="auto"/>
        </w:rPr>
      </w:pPr>
    </w:p>
    <w:p>
      <w:pPr>
        <w:ind w:left="6561"/>
        <w:spacing w:after="0"/>
        <w:rPr>
          <w:sz w:val="20"/>
          <w:szCs w:val="20"/>
          <w:color w:val="auto"/>
        </w:rPr>
      </w:pPr>
      <w:r>
        <w:rPr>
          <w:rFonts w:ascii="Times New Roman" w:cs="Times New Roman" w:eastAsia="Times New Roman" w:hAnsi="Times New Roman"/>
          <w:sz w:val="16"/>
          <w:szCs w:val="16"/>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-3810</wp:posOffset>
            </wp:positionV>
            <wp:extent cx="12020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73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73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737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8701" w:space="60"/>
            <w:col w:w="2140"/>
          </w:cols>
          <w:pgMar w:left="499" w:top="121" w:right="499" w:bottom="1440" w:gutter="0" w:footer="0" w:header="0"/>
          <w:type w:val="continuous"/>
        </w:sectPr>
      </w:pPr>
    </w:p>
    <w:p>
      <w:pPr>
        <w:ind w:left="6561"/>
        <w:spacing w:after="0"/>
        <w:tabs>
          <w:tab w:leader="none" w:pos="8741"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20" w:hanging="1"/>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346824" TargetMode="External"/><Relationship Id="rId13" Type="http://schemas.openxmlformats.org/officeDocument/2006/relationships/hyperlink" Target="http://www.sec.gov/cgi-bin/browse-edgar?action=getcompany&amp;CIK=0001785530" TargetMode="External"/><Relationship Id="rId14" Type="http://schemas.openxmlformats.org/officeDocument/2006/relationships/hyperlink" Target="http://www.sec.gov/cgi-bin/browse-edgar?action=getcompany&amp;CIK=0001315082" TargetMode="External"/><Relationship Id="rId15" Type="http://schemas.openxmlformats.org/officeDocument/2006/relationships/hyperlink" Target="http://www.sec.gov/cgi-bin/browse-edgar?action=getcompany&amp;CIK=0001384859" TargetMode="External"/><Relationship Id="rId17"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2022-06-03T16:33:02Z</dcterms:created>
  <dcterms:modified xsi:type="dcterms:W3CDTF">2022-06-03T16:33:02Z</dcterms:modified>
</cp:coreProperties>
</file>