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180" w:right="3520" w:hanging="4057"/>
        <w:spacing w:after="0" w:line="406" w:lineRule="auto"/>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2022</w:t>
      </w:r>
    </w:p>
    <w:p>
      <w:pPr>
        <w:spacing w:after="0" w:line="9" w:lineRule="exact"/>
        <w:rPr>
          <w:sz w:val="24"/>
          <w:szCs w:val="24"/>
          <w:color w:val="auto"/>
        </w:rPr>
      </w:pPr>
    </w:p>
    <w:p>
      <w:pPr>
        <w:ind w:left="3720" w:right="3500" w:hanging="3584"/>
        <w:spacing w:after="0" w:line="466" w:lineRule="auto"/>
        <w:tabs>
          <w:tab w:leader="none" w:pos="4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from____________to_____________.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001-40366</w:t>
      </w:r>
    </w:p>
    <w:p>
      <w:pPr>
        <w:spacing w:after="0" w:line="2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WEREWOLF THERAPEUTICS,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95" w:lineRule="exact"/>
        <w:rPr>
          <w:sz w:val="24"/>
          <w:szCs w:val="24"/>
          <w:color w:val="auto"/>
        </w:rPr>
      </w:pPr>
    </w:p>
    <w:tbl>
      <w:tblPr>
        <w:tblLayout w:type="fixed"/>
        <w:tblInd w:w="180" w:type="dxa"/>
        <w:tblCellMar>
          <w:top w:w="0" w:type="dxa"/>
          <w:left w:w="0" w:type="dxa"/>
          <w:bottom w:w="0" w:type="dxa"/>
          <w:right w:w="0" w:type="dxa"/>
        </w:tblCellMar>
      </w:tblPr>
      <w:tr>
        <w:trPr>
          <w:trHeight w:val="152"/>
        </w:trPr>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jc w:val="center"/>
              <w:ind w:right="39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500" w:type="dxa"/>
            <w:vAlign w:val="bottom"/>
            <w:gridSpan w:val="2"/>
          </w:tcPr>
          <w:p>
            <w:pPr>
              <w:jc w:val="right"/>
              <w:ind w:right="1622"/>
              <w:spacing w:after="0"/>
              <w:rPr>
                <w:sz w:val="20"/>
                <w:szCs w:val="20"/>
                <w:color w:val="auto"/>
              </w:rPr>
            </w:pPr>
            <w:r>
              <w:rPr>
                <w:rFonts w:ascii="Times New Roman" w:cs="Times New Roman" w:eastAsia="Times New Roman" w:hAnsi="Times New Roman"/>
                <w:sz w:val="12"/>
                <w:szCs w:val="12"/>
                <w:b w:val="1"/>
                <w:bCs w:val="1"/>
                <w:color w:val="auto"/>
              </w:rPr>
              <w:t>82-3523180</w:t>
            </w:r>
          </w:p>
        </w:tc>
      </w:tr>
      <w:tr>
        <w:trPr>
          <w:trHeight w:val="172"/>
        </w:trPr>
        <w:tc>
          <w:tcPr>
            <w:tcW w:w="1260" w:type="dxa"/>
            <w:vAlign w:val="bottom"/>
          </w:tcPr>
          <w:p>
            <w:pPr>
              <w:spacing w:after="0"/>
              <w:rPr>
                <w:sz w:val="14"/>
                <w:szCs w:val="14"/>
                <w:color w:val="auto"/>
              </w:rPr>
            </w:pPr>
          </w:p>
        </w:tc>
        <w:tc>
          <w:tcPr>
            <w:tcW w:w="2360" w:type="dxa"/>
            <w:vAlign w:val="bottom"/>
            <w:gridSpan w:val="2"/>
          </w:tcPr>
          <w:p>
            <w:pPr>
              <w:jc w:val="center"/>
              <w:ind w:left="322"/>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00" w:type="dxa"/>
            <w:vAlign w:val="bottom"/>
            <w:gridSpan w:val="2"/>
          </w:tcPr>
          <w:p>
            <w:pPr>
              <w:jc w:val="center"/>
              <w:ind w:right="1362"/>
              <w:spacing w:after="0"/>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52"/>
        </w:trPr>
        <w:tc>
          <w:tcPr>
            <w:tcW w:w="1260" w:type="dxa"/>
            <w:vAlign w:val="bottom"/>
          </w:tcPr>
          <w:p>
            <w:pPr>
              <w:spacing w:after="0"/>
              <w:rPr>
                <w:sz w:val="13"/>
                <w:szCs w:val="13"/>
                <w:color w:val="auto"/>
              </w:rPr>
            </w:pPr>
          </w:p>
        </w:tc>
        <w:tc>
          <w:tcPr>
            <w:tcW w:w="2360" w:type="dxa"/>
            <w:vAlign w:val="bottom"/>
            <w:gridSpan w:val="2"/>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500" w:type="dxa"/>
            <w:vAlign w:val="bottom"/>
            <w:gridSpan w:val="2"/>
          </w:tcPr>
          <w:p>
            <w:pPr>
              <w:jc w:val="center"/>
              <w:ind w:right="1382"/>
              <w:spacing w:after="0"/>
              <w:rPr>
                <w:sz w:val="20"/>
                <w:szCs w:val="20"/>
                <w:color w:val="auto"/>
              </w:rPr>
            </w:pPr>
            <w:r>
              <w:rPr>
                <w:rFonts w:ascii="Times New Roman" w:cs="Times New Roman" w:eastAsia="Times New Roman" w:hAnsi="Times New Roman"/>
                <w:sz w:val="12"/>
                <w:szCs w:val="12"/>
                <w:b w:val="1"/>
                <w:bCs w:val="1"/>
                <w:color w:val="auto"/>
                <w:w w:val="95"/>
              </w:rPr>
              <w:t>Identification No.)</w:t>
            </w:r>
          </w:p>
        </w:tc>
      </w:tr>
      <w:tr>
        <w:trPr>
          <w:trHeight w:val="365"/>
        </w:trPr>
        <w:tc>
          <w:tcPr>
            <w:tcW w:w="1260" w:type="dxa"/>
            <w:vAlign w:val="bottom"/>
          </w:tcPr>
          <w:p>
            <w:pPr>
              <w:spacing w:after="0"/>
              <w:rPr>
                <w:sz w:val="24"/>
                <w:szCs w:val="24"/>
                <w:color w:val="auto"/>
              </w:rPr>
            </w:pPr>
          </w:p>
        </w:tc>
        <w:tc>
          <w:tcPr>
            <w:tcW w:w="2360" w:type="dxa"/>
            <w:vAlign w:val="bottom"/>
            <w:gridSpan w:val="2"/>
          </w:tcPr>
          <w:p>
            <w:pPr>
              <w:jc w:val="center"/>
              <w:ind w:left="322"/>
              <w:spacing w:after="0"/>
              <w:rPr>
                <w:sz w:val="20"/>
                <w:szCs w:val="20"/>
                <w:color w:val="auto"/>
              </w:rPr>
            </w:pPr>
            <w:r>
              <w:rPr>
                <w:rFonts w:ascii="Times New Roman" w:cs="Times New Roman" w:eastAsia="Times New Roman" w:hAnsi="Times New Roman"/>
                <w:sz w:val="12"/>
                <w:szCs w:val="12"/>
                <w:b w:val="1"/>
                <w:bCs w:val="1"/>
                <w:color w:val="auto"/>
                <w:w w:val="97"/>
              </w:rPr>
              <w:t>1030 Massachusetts Avenue, Suite 210</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2360" w:type="dxa"/>
            <w:vAlign w:val="bottom"/>
            <w:gridSpan w:val="2"/>
          </w:tcPr>
          <w:p>
            <w:pPr>
              <w:jc w:val="center"/>
              <w:ind w:left="322"/>
              <w:spacing w:after="0"/>
              <w:rPr>
                <w:sz w:val="20"/>
                <w:szCs w:val="20"/>
                <w:color w:val="auto"/>
              </w:rPr>
            </w:pPr>
            <w:r>
              <w:rPr>
                <w:rFonts w:ascii="Times New Roman" w:cs="Times New Roman" w:eastAsia="Times New Roman" w:hAnsi="Times New Roman"/>
                <w:sz w:val="12"/>
                <w:szCs w:val="12"/>
                <w:b w:val="1"/>
                <w:bCs w:val="1"/>
                <w:color w:val="auto"/>
                <w:w w:val="97"/>
              </w:rPr>
              <w:t>Cambridge, Massachusetts</w:t>
            </w: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500" w:type="dxa"/>
            <w:vAlign w:val="bottom"/>
            <w:gridSpan w:val="2"/>
          </w:tcPr>
          <w:p>
            <w:pPr>
              <w:jc w:val="right"/>
              <w:ind w:right="1762"/>
              <w:spacing w:after="0"/>
              <w:rPr>
                <w:sz w:val="20"/>
                <w:szCs w:val="20"/>
                <w:color w:val="auto"/>
              </w:rPr>
            </w:pPr>
            <w:r>
              <w:rPr>
                <w:rFonts w:ascii="Times New Roman" w:cs="Times New Roman" w:eastAsia="Times New Roman" w:hAnsi="Times New Roman"/>
                <w:sz w:val="12"/>
                <w:szCs w:val="12"/>
                <w:b w:val="1"/>
                <w:bCs w:val="1"/>
                <w:color w:val="auto"/>
              </w:rPr>
              <w:t>02138</w:t>
            </w:r>
          </w:p>
        </w:tc>
      </w:tr>
      <w:tr>
        <w:trPr>
          <w:trHeight w:val="203"/>
        </w:trPr>
        <w:tc>
          <w:tcPr>
            <w:tcW w:w="1260" w:type="dxa"/>
            <w:vAlign w:val="bottom"/>
          </w:tcPr>
          <w:p>
            <w:pPr>
              <w:spacing w:after="0"/>
              <w:rPr>
                <w:sz w:val="17"/>
                <w:szCs w:val="17"/>
                <w:color w:val="auto"/>
              </w:rPr>
            </w:pPr>
          </w:p>
        </w:tc>
        <w:tc>
          <w:tcPr>
            <w:tcW w:w="2360" w:type="dxa"/>
            <w:vAlign w:val="bottom"/>
            <w:gridSpan w:val="2"/>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00" w:type="dxa"/>
            <w:vAlign w:val="bottom"/>
            <w:gridSpan w:val="2"/>
          </w:tcPr>
          <w:p>
            <w:pPr>
              <w:jc w:val="center"/>
              <w:ind w:right="1382"/>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369"/>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00" w:type="dxa"/>
            <w:vAlign w:val="bottom"/>
            <w:gridSpan w:val="3"/>
          </w:tcPr>
          <w:p>
            <w:pPr>
              <w:jc w:val="center"/>
              <w:ind w:right="440"/>
              <w:spacing w:after="0" w:line="150" w:lineRule="exact"/>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(617) 952</w:t>
            </w:r>
            <w:r>
              <w:rPr>
                <w:rFonts w:ascii="MS PGothic" w:cs="MS PGothic" w:eastAsia="MS PGothic" w:hAnsi="MS PGothic"/>
                <w:sz w:val="13"/>
                <w:szCs w:val="13"/>
                <w:color w:val="auto"/>
                <w:strike w:val="1"/>
                <w:w w:val="96"/>
              </w:rPr>
              <w:t>‑</w:t>
            </w:r>
            <w:r>
              <w:rPr>
                <w:rFonts w:ascii="Times New Roman" w:cs="Times New Roman" w:eastAsia="Times New Roman" w:hAnsi="Times New Roman"/>
                <w:sz w:val="13"/>
                <w:szCs w:val="13"/>
                <w:b w:val="1"/>
                <w:bCs w:val="1"/>
                <w:color w:val="auto"/>
                <w:w w:val="96"/>
              </w:rPr>
              <w:t>0555</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6"/>
        </w:trPr>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0" w:type="dxa"/>
            <w:vAlign w:val="bottom"/>
            <w:gridSpan w:val="4"/>
          </w:tcPr>
          <w:p>
            <w:pPr>
              <w:jc w:val="center"/>
              <w:ind w:left="999"/>
              <w:spacing w:after="0"/>
              <w:rPr>
                <w:sz w:val="20"/>
                <w:szCs w:val="20"/>
                <w:color w:val="auto"/>
              </w:rPr>
            </w:pPr>
            <w:r>
              <w:rPr>
                <w:rFonts w:ascii="Times New Roman" w:cs="Times New Roman" w:eastAsia="Times New Roman" w:hAnsi="Times New Roman"/>
                <w:sz w:val="13"/>
                <w:szCs w:val="13"/>
                <w:b w:val="1"/>
                <w:bCs w:val="1"/>
                <w:color w:val="auto"/>
                <w:w w:val="96"/>
              </w:rPr>
              <w:t>(Former name, former address and former fiscal year, if changed since last report)</w:t>
            </w: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57"/>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3"/>
        </w:trPr>
        <w:tc>
          <w:tcPr>
            <w:tcW w:w="1260" w:type="dxa"/>
            <w:vAlign w:val="bottom"/>
          </w:tcPr>
          <w:p>
            <w:pPr>
              <w:spacing w:after="0"/>
              <w:rPr>
                <w:sz w:val="23"/>
                <w:szCs w:val="2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1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Name of each exchange on which registered</w:t>
            </w:r>
          </w:p>
        </w:tc>
      </w:tr>
      <w:tr>
        <w:trPr>
          <w:trHeight w:val="176"/>
        </w:trPr>
        <w:tc>
          <w:tcPr>
            <w:tcW w:w="3620" w:type="dxa"/>
            <w:vAlign w:val="bottom"/>
            <w:gridSpan w:val="3"/>
          </w:tcPr>
          <w:p>
            <w:pPr>
              <w:jc w:val="center"/>
              <w:ind w:right="179"/>
              <w:spacing w:after="0"/>
              <w:rPr>
                <w:sz w:val="20"/>
                <w:szCs w:val="20"/>
                <w:color w:val="auto"/>
              </w:rPr>
            </w:pPr>
            <w:r>
              <w:rPr>
                <w:rFonts w:ascii="Times New Roman" w:cs="Times New Roman" w:eastAsia="Times New Roman" w:hAnsi="Times New Roman"/>
                <w:sz w:val="12"/>
                <w:szCs w:val="12"/>
                <w:color w:val="auto"/>
                <w:w w:val="98"/>
              </w:rPr>
              <w:t>Common Stock, $0.0001 par value per share</w:t>
            </w:r>
          </w:p>
        </w:tc>
        <w:tc>
          <w:tcPr>
            <w:tcW w:w="1360" w:type="dxa"/>
            <w:vAlign w:val="bottom"/>
          </w:tcPr>
          <w:p>
            <w:pPr>
              <w:spacing w:after="0"/>
              <w:rPr>
                <w:sz w:val="15"/>
                <w:szCs w:val="15"/>
                <w:color w:val="auto"/>
              </w:rPr>
            </w:pPr>
          </w:p>
        </w:tc>
        <w:tc>
          <w:tcPr>
            <w:tcW w:w="2740" w:type="dxa"/>
            <w:vAlign w:val="bottom"/>
            <w:gridSpan w:val="2"/>
          </w:tcPr>
          <w:p>
            <w:pPr>
              <w:jc w:val="center"/>
              <w:ind w:right="1840"/>
              <w:spacing w:after="0"/>
              <w:rPr>
                <w:sz w:val="20"/>
                <w:szCs w:val="20"/>
                <w:color w:val="auto"/>
              </w:rPr>
            </w:pPr>
            <w:r>
              <w:rPr>
                <w:rFonts w:ascii="Times New Roman" w:cs="Times New Roman" w:eastAsia="Times New Roman" w:hAnsi="Times New Roman"/>
                <w:sz w:val="12"/>
                <w:szCs w:val="12"/>
                <w:color w:val="auto"/>
                <w:w w:val="94"/>
              </w:rPr>
              <w:t>HOWL</w:t>
            </w:r>
          </w:p>
        </w:tc>
        <w:tc>
          <w:tcPr>
            <w:tcW w:w="4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The Nasdaq Global Select Market</w:t>
            </w:r>
          </w:p>
        </w:tc>
      </w:tr>
    </w:tbl>
    <w:p>
      <w:pPr>
        <w:spacing w:after="0" w:line="174" w:lineRule="exact"/>
        <w:rPr>
          <w:sz w:val="24"/>
          <w:szCs w:val="24"/>
          <w:color w:val="auto"/>
        </w:rPr>
      </w:pPr>
    </w:p>
    <w:p>
      <w:pPr>
        <w:ind w:firstLine="162"/>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4" w:lineRule="exact"/>
        <w:rPr>
          <w:sz w:val="24"/>
          <w:szCs w:val="24"/>
          <w:color w:val="auto"/>
        </w:rPr>
      </w:pPr>
    </w:p>
    <w:p>
      <w:pPr>
        <w:ind w:firstLine="162"/>
        <w:spacing w:after="0" w:line="159" w:lineRule="exact"/>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4" w:lineRule="exact"/>
        <w:rPr>
          <w:sz w:val="24"/>
          <w:szCs w:val="24"/>
          <w:color w:val="auto"/>
        </w:rPr>
      </w:pPr>
    </w:p>
    <w:p>
      <w:pPr>
        <w:ind w:left="180"/>
        <w:spacing w:after="0" w:line="138" w:lineRule="exact"/>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accelerated filer, a smaller reporting company, or an emerging growth company.</w:t>
      </w:r>
    </w:p>
    <w:p>
      <w:pPr>
        <w:spacing w:after="0" w:line="105" w:lineRule="exact"/>
        <w:rPr>
          <w:sz w:val="24"/>
          <w:szCs w:val="24"/>
          <w:color w:val="auto"/>
        </w:rPr>
      </w:pPr>
    </w:p>
    <w:p>
      <w:pPr>
        <w:ind w:left="180"/>
        <w:spacing w:after="0" w:line="138" w:lineRule="exact"/>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43"/>
        </w:trPr>
        <w:tc>
          <w:tcPr>
            <w:tcW w:w="170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accelerated filer</w:t>
            </w:r>
          </w:p>
        </w:tc>
        <w:tc>
          <w:tcPr>
            <w:tcW w:w="36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43"/>
        </w:trPr>
        <w:tc>
          <w:tcPr>
            <w:tcW w:w="17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0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2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46" w:lineRule="exact"/>
        <w:rPr>
          <w:sz w:val="24"/>
          <w:szCs w:val="24"/>
          <w:color w:val="auto"/>
        </w:rPr>
      </w:pPr>
    </w:p>
    <w:p>
      <w:pPr>
        <w:ind w:firstLine="162"/>
        <w:spacing w:after="0" w:line="18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180" w:right="4620"/>
        <w:spacing w:after="0" w:line="231" w:lineRule="exact"/>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As of May 6, 2022, there were 27,654,248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E32E1"/>
              </w:rPr>
              <w:t>PART I. FINANCIAL INFORMATION</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40" w:type="dxa"/>
            <w:vAlign w:val="bottom"/>
            <w:gridSpan w:val="19"/>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7"/>
              </w:rPr>
              <w:t>Item 1.</w:t>
            </w:r>
          </w:p>
        </w:tc>
        <w:tc>
          <w:tcPr>
            <w:tcW w:w="640" w:type="dxa"/>
            <w:vAlign w:val="bottom"/>
            <w:gridSpan w:val="2"/>
          </w:tcPr>
          <w:p>
            <w:pPr>
              <w:spacing w:after="0"/>
              <w:rPr>
                <w:sz w:val="24"/>
                <w:szCs w:val="24"/>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Financial Statements (unaudited)</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E32E1"/>
              </w:rPr>
              <w:t>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Condensed Consolidated Balance Sheets as of March 31, 2022 and December 31, 2021</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E32E1"/>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90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for the Three Months Ended March 31, 2022 and 2021</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E32E1"/>
              </w:rPr>
              <w:t>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9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Condensed Consolidated Statements of Redeemable Convertible Preferred Stock and Stockholders’ Equity (Deficit) for the</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E32E1"/>
              </w:rPr>
              <w:t>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80" w:type="dxa"/>
            <w:vAlign w:val="bottom"/>
            <w:tcBorders>
              <w:top w:val="single" w:sz="8" w:color="0E32E1"/>
            </w:tcBorders>
            <w:gridSpan w:val="15"/>
          </w:tcPr>
          <w:p>
            <w:pPr>
              <w:spacing w:after="0" w:line="169" w:lineRule="exact"/>
              <w:rPr>
                <w:sz w:val="20"/>
                <w:szCs w:val="20"/>
                <w:color w:val="auto"/>
              </w:rPr>
            </w:pPr>
            <w:r>
              <w:rPr>
                <w:rFonts w:ascii="Times New Roman" w:cs="Times New Roman" w:eastAsia="Times New Roman" w:hAnsi="Times New Roman"/>
                <w:sz w:val="18"/>
                <w:szCs w:val="18"/>
                <w:color w:val="0E32E1"/>
              </w:rPr>
              <w:t>Three Months Ended March 31, 2022 and 2021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1640" w:type="dxa"/>
            <w:vAlign w:val="bottom"/>
            <w:gridSpan w:val="2"/>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Condensed Consolidated Statements of Cash Flows for the Three Months Ended March 31, 2022 and 2021</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E32E1"/>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w:t>
            </w:r>
          </w:p>
        </w:tc>
        <w:tc>
          <w:tcPr>
            <w:tcW w:w="3700" w:type="dxa"/>
            <w:vAlign w:val="bottom"/>
            <w:tcBorders>
              <w:top w:val="single" w:sz="8" w:color="0E32E1"/>
            </w:tcBorders>
            <w:gridSpan w:val="6"/>
          </w:tcPr>
          <w:p>
            <w:pPr>
              <w:spacing w:after="0"/>
              <w:rPr>
                <w:sz w:val="18"/>
                <w:szCs w:val="18"/>
                <w:color w:val="auto"/>
              </w:rPr>
            </w:pPr>
          </w:p>
        </w:tc>
        <w:tc>
          <w:tcPr>
            <w:tcW w:w="15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0E32E1"/>
              <w:bottom w:val="single" w:sz="8" w:color="0E32E1"/>
            </w:tcBorders>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7"/>
              </w:rPr>
              <w:t>Item 2.</w:t>
            </w:r>
          </w:p>
        </w:tc>
        <w:tc>
          <w:tcPr>
            <w:tcW w:w="640" w:type="dxa"/>
            <w:vAlign w:val="bottom"/>
            <w:gridSpan w:val="2"/>
          </w:tcPr>
          <w:p>
            <w:pPr>
              <w:spacing w:after="0"/>
              <w:rPr>
                <w:sz w:val="18"/>
                <w:szCs w:val="18"/>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12</w:t>
            </w: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258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80" w:type="dxa"/>
            <w:vAlign w:val="bottom"/>
            <w:gridSpan w:val="2"/>
            <w:shd w:val="clear" w:color="auto" w:fill="0E32E1"/>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7"/>
              </w:rPr>
              <w:t>Item 3.</w:t>
            </w:r>
          </w:p>
        </w:tc>
        <w:tc>
          <w:tcPr>
            <w:tcW w:w="120" w:type="dxa"/>
            <w:vAlign w:val="bottom"/>
            <w:tcBorders>
              <w:bottom w:val="single" w:sz="8" w:color="0E32E1"/>
            </w:tcBorders>
          </w:tcPr>
          <w:p>
            <w:pPr>
              <w:spacing w:after="0"/>
              <w:rPr>
                <w:sz w:val="18"/>
                <w:szCs w:val="18"/>
                <w:color w:val="auto"/>
              </w:rPr>
            </w:pPr>
          </w:p>
        </w:tc>
        <w:tc>
          <w:tcPr>
            <w:tcW w:w="520" w:type="dxa"/>
            <w:vAlign w:val="bottom"/>
          </w:tcPr>
          <w:p>
            <w:pPr>
              <w:spacing w:after="0"/>
              <w:rPr>
                <w:sz w:val="18"/>
                <w:szCs w:val="18"/>
                <w:color w:val="auto"/>
              </w:rPr>
            </w:pPr>
          </w:p>
        </w:tc>
        <w:tc>
          <w:tcPr>
            <w:tcW w:w="438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2080" w:type="dxa"/>
            <w:vAlign w:val="bottom"/>
            <w:gridSpan w:val="2"/>
          </w:tcPr>
          <w:p>
            <w:pPr>
              <w:spacing w:after="0"/>
              <w:rPr>
                <w:sz w:val="18"/>
                <w:szCs w:val="18"/>
                <w:color w:val="auto"/>
              </w:rPr>
            </w:pPr>
          </w:p>
        </w:tc>
        <w:tc>
          <w:tcPr>
            <w:tcW w:w="2820" w:type="dxa"/>
            <w:vAlign w:val="bottom"/>
            <w:gridSpan w:val="4"/>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19</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7"/>
              </w:rPr>
              <w:t>Item 4.</w:t>
            </w:r>
          </w:p>
        </w:tc>
        <w:tc>
          <w:tcPr>
            <w:tcW w:w="640" w:type="dxa"/>
            <w:vAlign w:val="bottom"/>
            <w:gridSpan w:val="2"/>
          </w:tcPr>
          <w:p>
            <w:pPr>
              <w:spacing w:after="0"/>
              <w:rPr>
                <w:sz w:val="18"/>
                <w:szCs w:val="18"/>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7500" w:type="dxa"/>
            <w:vAlign w:val="bottom"/>
            <w:gridSpan w:val="11"/>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19</w:t>
            </w: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5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7"/>
              </w:rPr>
              <w:t>PART II. OTHER INFORMATION</w:t>
            </w:r>
          </w:p>
        </w:tc>
        <w:tc>
          <w:tcPr>
            <w:tcW w:w="7860" w:type="dxa"/>
            <w:vAlign w:val="bottom"/>
            <w:gridSpan w:val="13"/>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rPr>
              <w:t>Item 1A.</w:t>
            </w: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21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E32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7"/>
              </w:rPr>
              <w:t>Item 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E32E1"/>
                <w:w w:val="99"/>
              </w:rPr>
              <w:t>Unregistered Sales of Equity Securities and Use of Proceeds</w:t>
            </w:r>
          </w:p>
        </w:tc>
        <w:tc>
          <w:tcPr>
            <w:tcW w:w="492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62</w:t>
            </w: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760" w:type="dxa"/>
            <w:vAlign w:val="bottom"/>
            <w:gridSpan w:val="8"/>
            <w:shd w:val="clear" w:color="auto" w:fill="0E32E1"/>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7"/>
              </w:rPr>
              <w:t>Item 6.</w:t>
            </w:r>
          </w:p>
        </w:tc>
        <w:tc>
          <w:tcPr>
            <w:tcW w:w="640" w:type="dxa"/>
            <w:vAlign w:val="bottom"/>
            <w:gridSpan w:val="2"/>
          </w:tcPr>
          <w:p>
            <w:pPr>
              <w:spacing w:after="0"/>
              <w:rPr>
                <w:sz w:val="18"/>
                <w:szCs w:val="18"/>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E32E1"/>
              </w:rPr>
              <w:t>Exhibits</w:t>
            </w:r>
          </w:p>
        </w:tc>
        <w:tc>
          <w:tcPr>
            <w:tcW w:w="492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E32E1"/>
                <w:w w:val="99"/>
              </w:rPr>
              <w:t>63</w:t>
            </w:r>
          </w:p>
        </w:tc>
        <w:tc>
          <w:tcPr>
            <w:tcW w:w="0" w:type="dxa"/>
            <w:vAlign w:val="bottom"/>
          </w:tcPr>
          <w:p>
            <w:pPr>
              <w:spacing w:after="0"/>
              <w:rPr>
                <w:sz w:val="1"/>
                <w:szCs w:val="1"/>
                <w:color w:val="auto"/>
              </w:rPr>
            </w:pPr>
          </w:p>
        </w:tc>
      </w:tr>
      <w:tr>
        <w:trPr>
          <w:trHeight w:val="20"/>
        </w:trPr>
        <w:tc>
          <w:tcPr>
            <w:tcW w:w="5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References to Werewolf</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Throughout this Quarterly Report on Form 10-Q, or Quarterly Report, the “Company,” “Werewolf,” “Werewolf Therapeutics,” “we,” “us,” “our,” and similar references, except where the context requires otherwise, refer to Werewolf Therapeutics, Inc. and its consolidated subsidiary, and “board of directors” refers to the board of directors of Werewolf Therapeutics, Inc.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 and Industry Data</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Quarterly Report contains forward-looking statements within the meaning of Section 27A of the Securities Act of 1933, as amended, and Section 21E of the Securities Exchange Act of 1934, or the Exchange Act, that involve substantial risks and uncertainties. All statements other than statements of historical facts contained in this Quarterly Report, including statements regarding our strategy, future operations, future financial position, future revenue, projected costs, prospects, plans, objectives of management and expected market growth, are forward-looking statements.</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words “aim,” “anticipate,” “believe,” “contemplate,” “continue,” “could,” “estimate,” “expect,” “goal,” “intend,” “may,” “might,” “objective,” “ongoing,” “plan,” “potential,” “predict,” “project,” “should,” “target,” “will,” “would,” or the negative of these words or other similar expressions are intended to identify forward-looking statements, although not all forward-looking statements contain these identifying words. These forward-looking statements include, among other things, statements about:</w:t>
      </w:r>
    </w:p>
    <w:p>
      <w:pPr>
        <w:spacing w:after="0" w:line="84" w:lineRule="exact"/>
        <w:rPr>
          <w:sz w:val="20"/>
          <w:szCs w:val="20"/>
          <w:color w:val="auto"/>
        </w:rPr>
      </w:pPr>
    </w:p>
    <w:p>
      <w:pPr>
        <w:ind w:left="660" w:hanging="652"/>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timing, progress and results of our research and development programs and preclinical studies and planned clinical trials, including the anticipated timing of submission of investigational new drug applications;</w:t>
      </w:r>
    </w:p>
    <w:p>
      <w:pPr>
        <w:spacing w:after="0" w:line="56" w:lineRule="exact"/>
        <w:rPr>
          <w:rFonts w:ascii="Times New Roman" w:cs="Times New Roman" w:eastAsia="Times New Roman" w:hAnsi="Times New Roman"/>
          <w:sz w:val="16"/>
          <w:szCs w:val="16"/>
          <w:color w:val="auto"/>
        </w:rPr>
      </w:pPr>
    </w:p>
    <w:p>
      <w:pPr>
        <w:ind w:left="660" w:hanging="652"/>
        <w:spacing w:after="0" w:line="298"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expenses, capital requirements, need for additional financing and the period over which we believe our existing cash and cash equivalents will be sufficient to fund our operating expenses and capital expenditure requirements;</w:t>
      </w:r>
    </w:p>
    <w:p>
      <w:pPr>
        <w:spacing w:after="0" w:line="42"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develop and, if approved, subsequently commercialize product candidates;</w:t>
      </w:r>
    </w:p>
    <w:p>
      <w:pPr>
        <w:spacing w:after="0" w:line="126"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our ability to submit applications and obtain and maintain regulatory approvals for product candidates;</w:t>
      </w:r>
    </w:p>
    <w:p>
      <w:pPr>
        <w:spacing w:after="0" w:line="113"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advantages of our PREDATOR platform and our ability to use our platform to identify and develop future product candidates;</w:t>
      </w:r>
    </w:p>
    <w:p>
      <w:pPr>
        <w:spacing w:after="0" w:line="113"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the potential market opportunities for our product candidates;</w:t>
      </w:r>
    </w:p>
    <w:p>
      <w:pPr>
        <w:spacing w:after="0" w:line="126"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commercialization, marketing and manufacturing capabilities and strategy;</w:t>
      </w:r>
    </w:p>
    <w:p>
      <w:pPr>
        <w:spacing w:after="0" w:line="113"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intellectual property position and our expectations regarding our ability to obtain and maintain intellectual property protection;</w:t>
      </w:r>
    </w:p>
    <w:p>
      <w:pPr>
        <w:spacing w:after="0" w:line="126" w:lineRule="exact"/>
        <w:rPr>
          <w:rFonts w:ascii="Times New Roman" w:cs="Times New Roman" w:eastAsia="Times New Roman" w:hAnsi="Times New Roman"/>
          <w:sz w:val="16"/>
          <w:szCs w:val="16"/>
          <w:color w:val="auto"/>
        </w:rPr>
      </w:pPr>
    </w:p>
    <w:p>
      <w:pPr>
        <w:ind w:left="660" w:hanging="652"/>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additional products, product candidates or technologies with significant commercial potential that are consistent with our commercial objectives;</w:t>
      </w:r>
    </w:p>
    <w:p>
      <w:pPr>
        <w:spacing w:after="0" w:line="56"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 laws and regulations;</w:t>
      </w:r>
    </w:p>
    <w:p>
      <w:pPr>
        <w:spacing w:after="0" w:line="126" w:lineRule="exact"/>
        <w:rPr>
          <w:rFonts w:ascii="Times New Roman" w:cs="Times New Roman" w:eastAsia="Times New Roman" w:hAnsi="Times New Roman"/>
          <w:sz w:val="16"/>
          <w:szCs w:val="16"/>
          <w:color w:val="auto"/>
        </w:rPr>
      </w:pPr>
    </w:p>
    <w:p>
      <w:pPr>
        <w:ind w:left="660" w:hanging="652"/>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position and expectations regarding developments and projections relating to our competitors and any competing therapies that are or become available;</w:t>
      </w:r>
    </w:p>
    <w:p>
      <w:pPr>
        <w:spacing w:after="0" w:line="70"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expectations regarding developments and projections relating to our competitors and our industry;</w:t>
      </w:r>
    </w:p>
    <w:p>
      <w:pPr>
        <w:spacing w:after="0" w:line="113"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COVID-19 pandemic on our business, including our preclinical studies and clinical trials; and</w:t>
      </w:r>
    </w:p>
    <w:p>
      <w:pPr>
        <w:spacing w:after="0" w:line="113"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time during which we will be an emerging growth company under the Jumpstart our Business Startup Act of 2012.</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Part II, Item 1A. “Risk Factors”,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make. Our forward-looking statements do not reflect the potential impact of any future acquisitions, mergers, dispositions, collaborations, joint ventures or investments that we may make or enter into.</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should read this Quarterly Report and the documents that we have filed or incorporated by reference as exhibits to this Quarterly Report completely and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spacing w:after="0" w:line="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Trademarks and Trade names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own or have rights to trademarks, service marks and trade names that we use in connection with the operation of our business, including our corporate name, logos and website names. The service marks and trademarks that we own include the marks PREDATOR™ and INDUKINE™.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business is subject to numerous risks that, if realized, could materially and adversely affect our business, financial condition, results of operations and future growth prospects. These risks are discussed more fully in Part II, Item 1A. “Risk Factors” in this Quarterly Report. These risks include, but are not limited to, the following:</w:t>
      </w:r>
    </w:p>
    <w:p>
      <w:pPr>
        <w:spacing w:after="0" w:line="72"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limited operating history, have incurred significant operating losses since our inception and expect to incur significant losses for the foreseeable future.</w:t>
      </w:r>
    </w:p>
    <w:p>
      <w:pPr>
        <w:spacing w:after="0" w:line="113"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 products approved for commercial sale and have not generated any revenue from product sales. We may never generate any revenue or become profitable or, if we achieve profitability, we may not be able to sustain it.</w:t>
      </w:r>
    </w:p>
    <w:p>
      <w:pPr>
        <w:spacing w:after="0" w:line="59" w:lineRule="exact"/>
        <w:rPr>
          <w:rFonts w:ascii="Times New Roman" w:cs="Times New Roman" w:eastAsia="Times New Roman" w:hAnsi="Times New Roman"/>
          <w:sz w:val="16"/>
          <w:szCs w:val="16"/>
          <w:color w:val="auto"/>
        </w:rPr>
      </w:pPr>
    </w:p>
    <w:p>
      <w:pPr>
        <w:ind w:left="660" w:right="2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obtain substantial additional funding to finance our operations and complete the development and any commercialization of WTX-124, WTX-330 and any future product candidates.</w:t>
      </w:r>
    </w:p>
    <w:p>
      <w:pPr>
        <w:spacing w:after="0" w:line="73"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early in our development efforts and our current product candidates will require successful completion of additional preclinical and clinical development before we can seek regulatory approval for any product candidates.</w:t>
      </w:r>
    </w:p>
    <w:p>
      <w:pPr>
        <w:spacing w:after="0" w:line="59"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highly dependent on the success of our initial INDUKINE molecules, which are in the early stages of development and will require significant additional preclinical and clinical development before we can seek regulatory approval for and launch a product commercially.</w:t>
      </w:r>
    </w:p>
    <w:p>
      <w:pPr>
        <w:spacing w:after="0" w:line="73"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approach to the discovery and development of product candidates based on our PREDATOR platform is unproven, and we do not know whether we will be able to develop any products of commercial value.</w:t>
      </w:r>
    </w:p>
    <w:p>
      <w:pPr>
        <w:spacing w:after="0" w:line="59" w:lineRule="exact"/>
        <w:rPr>
          <w:rFonts w:ascii="Times New Roman" w:cs="Times New Roman" w:eastAsia="Times New Roman" w:hAnsi="Times New Roman"/>
          <w:sz w:val="16"/>
          <w:szCs w:val="16"/>
          <w:color w:val="auto"/>
        </w:rPr>
      </w:pPr>
    </w:p>
    <w:p>
      <w:pPr>
        <w:jc w:val="both"/>
        <w:ind w:left="660" w:hanging="652"/>
        <w:spacing w:after="0" w:line="271"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INDUKINE molecules is subject to risk since they are a novel class of multi-domain biologics that include protease cleavable linkers, and they have never been produced on a clinical or commercial scale. We may be unable to manufacture INDUKINE molecules at the scale needed for clinical development and commercial production on a timely basis or at all.</w:t>
      </w:r>
    </w:p>
    <w:p>
      <w:pPr>
        <w:spacing w:after="0" w:line="6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studies and clinical trials are expensive, time-consuming and difficult to design and implement, and involve uncertain outcomes.</w:t>
      </w:r>
    </w:p>
    <w:p>
      <w:pPr>
        <w:spacing w:after="0" w:line="113" w:lineRule="exact"/>
        <w:rPr>
          <w:rFonts w:ascii="Times New Roman" w:cs="Times New Roman" w:eastAsia="Times New Roman" w:hAnsi="Times New Roman"/>
          <w:sz w:val="16"/>
          <w:szCs w:val="16"/>
          <w:color w:val="auto"/>
        </w:rPr>
      </w:pPr>
    </w:p>
    <w:p>
      <w:pPr>
        <w:ind w:left="660" w:right="2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73" w:lineRule="exact"/>
        <w:rPr>
          <w:rFonts w:ascii="Times New Roman" w:cs="Times New Roman" w:eastAsia="Times New Roman" w:hAnsi="Times New Roman"/>
          <w:sz w:val="16"/>
          <w:szCs w:val="16"/>
          <w:color w:val="auto"/>
        </w:rPr>
      </w:pPr>
    </w:p>
    <w:p>
      <w:pPr>
        <w:ind w:left="660" w:right="2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experience delays or difficulties in the enrollment of patients in clinical trials, our clinical development activities could be delayed or otherwise adversely affected.</w:t>
      </w:r>
    </w:p>
    <w:p>
      <w:pPr>
        <w:spacing w:after="0" w:line="59"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develop WTX-124 and WTX-330, and potentially future product candidates, in combination with third-party drugs, some of which may still be in development, and we will have limited or no control over the safety, supply, regulatory status or regulatory approval of such drugs.</w:t>
      </w:r>
    </w:p>
    <w:p>
      <w:pPr>
        <w:spacing w:after="0" w:line="59"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discovering, developing or commercializing products before or more successfully than we do.</w:t>
      </w:r>
    </w:p>
    <w:p>
      <w:pPr>
        <w:spacing w:after="0" w:line="126" w:lineRule="exact"/>
        <w:rPr>
          <w:rFonts w:ascii="Times New Roman" w:cs="Times New Roman" w:eastAsia="Times New Roman" w:hAnsi="Times New Roman"/>
          <w:sz w:val="16"/>
          <w:szCs w:val="16"/>
          <w:color w:val="auto"/>
        </w:rPr>
      </w:pPr>
    </w:p>
    <w:p>
      <w:pPr>
        <w:jc w:val="both"/>
        <w:ind w:left="660" w:hanging="652"/>
        <w:spacing w:after="0" w:line="262"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w:t>
      </w:r>
    </w:p>
    <w:p>
      <w:pPr>
        <w:spacing w:after="0" w:line="72" w:lineRule="exact"/>
        <w:rPr>
          <w:rFonts w:ascii="Times New Roman" w:cs="Times New Roman" w:eastAsia="Times New Roman" w:hAnsi="Times New Roman"/>
          <w:sz w:val="16"/>
          <w:szCs w:val="16"/>
          <w:color w:val="auto"/>
        </w:rPr>
      </w:pPr>
    </w:p>
    <w:p>
      <w:pPr>
        <w:ind w:left="660" w:hanging="652"/>
        <w:spacing w:after="0" w:line="296"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of biologics is complex and we do not have our own clinical manufacturing capabilities. We will rely on third parties to produce preclinical, clinical and commercial supplies of all current and any future product candidates.</w:t>
      </w:r>
    </w:p>
    <w:p>
      <w:pPr>
        <w:spacing w:after="0" w:line="45" w:lineRule="exact"/>
        <w:rPr>
          <w:rFonts w:ascii="Times New Roman" w:cs="Times New Roman" w:eastAsia="Times New Roman" w:hAnsi="Times New Roman"/>
          <w:sz w:val="16"/>
          <w:szCs w:val="16"/>
          <w:color w:val="auto"/>
        </w:rPr>
      </w:pPr>
    </w:p>
    <w:p>
      <w:pPr>
        <w:jc w:val="both"/>
        <w:ind w:left="660" w:hanging="652"/>
        <w:spacing w:after="0" w:line="262"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our license agreement with Harpoon Therapeutics, Inc.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85" w:lineRule="exact"/>
        <w:rPr>
          <w:rFonts w:ascii="Times New Roman" w:cs="Times New Roman" w:eastAsia="Times New Roman" w:hAnsi="Times New Roman"/>
          <w:sz w:val="16"/>
          <w:szCs w:val="16"/>
          <w:color w:val="auto"/>
        </w:rPr>
      </w:pPr>
    </w:p>
    <w:p>
      <w:pPr>
        <w:ind w:left="660" w:hanging="652"/>
        <w:spacing w:after="0" w:line="278"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proprietary position in part depends upon patents that are manufacturing, formulation or method-of-use patents, which may not prevent a competitor or other third party from using the same product candidate for another use.</w:t>
      </w:r>
    </w:p>
    <w:p>
      <w:pPr>
        <w:spacing w:after="0" w:line="59" w:lineRule="exact"/>
        <w:rPr>
          <w:rFonts w:ascii="Times New Roman" w:cs="Times New Roman" w:eastAsia="Times New Roman" w:hAnsi="Times New Roman"/>
          <w:sz w:val="16"/>
          <w:szCs w:val="16"/>
          <w:color w:val="auto"/>
        </w:rPr>
      </w:pPr>
    </w:p>
    <w:p>
      <w:pPr>
        <w:jc w:val="both"/>
        <w:ind w:left="660" w:hanging="652"/>
        <w:spacing w:after="0" w:line="262" w:lineRule="auto"/>
        <w:tabs>
          <w:tab w:leader="none" w:pos="6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4"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5"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(amounts in thousands, except par value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784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69" w:lineRule="exact"/>
        <w:rPr>
          <w:sz w:val="20"/>
          <w:szCs w:val="20"/>
          <w:color w:val="auto"/>
        </w:rPr>
      </w:pPr>
    </w:p>
    <w:p>
      <w:pPr>
        <w:ind w:left="180"/>
        <w:spacing w:after="0"/>
        <w:tabs>
          <w:tab w:leader="none" w:pos="784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784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 liability, current</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55" w:lineRule="exact"/>
        <w:rPr>
          <w:sz w:val="20"/>
          <w:szCs w:val="20"/>
          <w:color w:val="auto"/>
        </w:rPr>
      </w:pPr>
    </w:p>
    <w:p>
      <w:pPr>
        <w:ind w:left="180" w:right="740" w:hanging="80"/>
        <w:spacing w:after="0" w:line="252" w:lineRule="auto"/>
        <w:rPr>
          <w:sz w:val="20"/>
          <w:szCs w:val="20"/>
          <w:color w:val="auto"/>
        </w:rPr>
      </w:pPr>
      <w:r>
        <w:rPr>
          <w:rFonts w:ascii="Times New Roman" w:cs="Times New Roman" w:eastAsia="Times New Roman" w:hAnsi="Times New Roman"/>
          <w:sz w:val="14"/>
          <w:szCs w:val="14"/>
          <w:color w:val="auto"/>
        </w:rPr>
        <w:t>Preferred stock, $0.0001 par value, 5,000 shares authorized at March 31, 2022 and December 31, 2021; no shares issued or outstanding as of March 31, 2022 or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Common stock, $0.0001 par value, 200,000 shares authorized as of March 31, 2022 and December 31, 2021; 27,654 and 27,608 shares</w:t>
      </w:r>
    </w:p>
    <w:p>
      <w:pPr>
        <w:spacing w:after="0" w:line="4" w:lineRule="exact"/>
        <w:rPr>
          <w:sz w:val="20"/>
          <w:szCs w:val="20"/>
          <w:color w:val="auto"/>
        </w:rPr>
      </w:pPr>
    </w:p>
    <w:p>
      <w:pPr>
        <w:ind w:left="180" w:right="300"/>
        <w:spacing w:after="0" w:line="226" w:lineRule="auto"/>
        <w:rPr>
          <w:sz w:val="20"/>
          <w:szCs w:val="20"/>
          <w:color w:val="auto"/>
        </w:rPr>
      </w:pPr>
      <w:r>
        <w:rPr>
          <w:rFonts w:ascii="Times New Roman" w:cs="Times New Roman" w:eastAsia="Times New Roman" w:hAnsi="Times New Roman"/>
          <w:sz w:val="14"/>
          <w:szCs w:val="14"/>
          <w:color w:val="auto"/>
        </w:rPr>
        <w:t>issued as of March 31, 2022 and December 31, 2021, respectively; 27,420 and 27,313 shares outstanding as of March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40" w:type="dxa"/>
            <w:vAlign w:val="bottom"/>
          </w:tcPr>
          <w:p>
            <w:pPr>
              <w:spacing w:after="0"/>
              <w:rPr>
                <w:sz w:val="13"/>
                <w:szCs w:val="13"/>
                <w:color w:val="auto"/>
              </w:rPr>
            </w:pPr>
          </w:p>
        </w:tc>
        <w:tc>
          <w:tcPr>
            <w:tcW w:w="14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24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650"/>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143,711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1,725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0" w:type="dxa"/>
            <w:vAlign w:val="bottom"/>
          </w:tcPr>
          <w:p>
            <w:pPr>
              <w:spacing w:after="0"/>
              <w:rPr>
                <w:sz w:val="1"/>
                <w:szCs w:val="1"/>
                <w:color w:val="auto"/>
              </w:rPr>
            </w:pPr>
          </w:p>
        </w:tc>
      </w:tr>
      <w:tr>
        <w:trPr>
          <w:trHeight w:val="23"/>
        </w:trPr>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145,436</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161,068</w:t>
            </w:r>
          </w:p>
        </w:tc>
        <w:tc>
          <w:tcPr>
            <w:tcW w:w="0" w:type="dxa"/>
            <w:vAlign w:val="bottom"/>
          </w:tcPr>
          <w:p>
            <w:pPr>
              <w:spacing w:after="0"/>
              <w:rPr>
                <w:sz w:val="1"/>
                <w:szCs w:val="1"/>
                <w:color w:val="auto"/>
              </w:rPr>
            </w:pPr>
          </w:p>
        </w:tc>
      </w:tr>
      <w:tr>
        <w:trPr>
          <w:trHeight w:val="230"/>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6,141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1,208</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230"/>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11,204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23"/>
        </w:trPr>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164,631</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4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179,250</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1,381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8,189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1,458</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23"/>
        </w:trPr>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11,028</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14,285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0" w:type="dxa"/>
            <w:vAlign w:val="bottom"/>
          </w:tcPr>
          <w:p>
            <w:pPr>
              <w:spacing w:after="0"/>
              <w:rPr>
                <w:sz w:val="1"/>
                <w:szCs w:val="1"/>
                <w:color w:val="auto"/>
              </w:rPr>
            </w:pPr>
          </w:p>
        </w:tc>
      </w:tr>
      <w:tr>
        <w:trPr>
          <w:trHeight w:val="23"/>
        </w:trPr>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25,313</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26,463</w:t>
            </w:r>
          </w:p>
        </w:tc>
        <w:tc>
          <w:tcPr>
            <w:tcW w:w="0" w:type="dxa"/>
            <w:vAlign w:val="bottom"/>
          </w:tcPr>
          <w:p>
            <w:pPr>
              <w:spacing w:after="0"/>
              <w:rPr>
                <w:sz w:val="1"/>
                <w:szCs w:val="1"/>
                <w:color w:val="auto"/>
              </w:rPr>
            </w:pPr>
          </w:p>
        </w:tc>
      </w:tr>
      <w:tr>
        <w:trPr>
          <w:trHeight w:val="760"/>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9"/>
        </w:trPr>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407,554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405,680</w:t>
            </w:r>
          </w:p>
        </w:tc>
        <w:tc>
          <w:tcPr>
            <w:tcW w:w="0" w:type="dxa"/>
            <w:vAlign w:val="bottom"/>
          </w:tcPr>
          <w:p>
            <w:pPr>
              <w:spacing w:after="0"/>
              <w:rPr>
                <w:sz w:val="1"/>
                <w:szCs w:val="1"/>
                <w:color w:val="auto"/>
              </w:rPr>
            </w:pPr>
          </w:p>
        </w:tc>
      </w:tr>
      <w:tr>
        <w:trPr>
          <w:trHeight w:val="230"/>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(268,238)</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-1227455</wp:posOffset>
            </wp:positionV>
            <wp:extent cx="10458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-1518920</wp:posOffset>
            </wp:positionV>
            <wp:extent cx="1045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-2265045</wp:posOffset>
            </wp:positionV>
            <wp:extent cx="10458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-2401570</wp:posOffset>
            </wp:positionV>
            <wp:extent cx="1045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7940" w:space="420"/>
            <w:col w:w="288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7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152,787</w:t>
            </w:r>
          </w:p>
        </w:tc>
      </w:tr>
      <w:tr>
        <w:trPr>
          <w:trHeight w:val="19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164,631</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179,250</w:t>
            </w:r>
          </w:p>
        </w:tc>
      </w:tr>
      <w:tr>
        <w:trPr>
          <w:trHeight w:val="27"/>
        </w:trPr>
        <w:tc>
          <w:tcPr>
            <w:tcW w:w="78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5"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(unaudited)</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amounts)</w:t>
      </w:r>
    </w:p>
    <w:p>
      <w:pPr>
        <w:spacing w:after="0" w:line="216" w:lineRule="exact"/>
        <w:rPr>
          <w:sz w:val="20"/>
          <w:szCs w:val="20"/>
          <w:color w:val="auto"/>
        </w:rPr>
      </w:pPr>
    </w:p>
    <w:p>
      <w:pPr>
        <w:jc w:val="center"/>
        <w:ind w:left="-407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4079"/>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2" w:lineRule="exact"/>
        <w:rPr>
          <w:sz w:val="20"/>
          <w:szCs w:val="20"/>
          <w:color w:val="auto"/>
        </w:rPr>
      </w:pPr>
    </w:p>
    <w:tbl>
      <w:tblPr>
        <w:tblLayout w:type="fixed"/>
        <w:tblInd w:w="4420" w:type="dxa"/>
        <w:tblCellMar>
          <w:top w:w="0" w:type="dxa"/>
          <w:left w:w="0" w:type="dxa"/>
          <w:bottom w:w="0" w:type="dxa"/>
          <w:right w:w="0" w:type="dxa"/>
        </w:tblCellMar>
      </w:tblP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22"/>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10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r>
      <w:tr>
        <w:trPr>
          <w:trHeight w:val="230"/>
        </w:trPr>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r>
      <w:tr>
        <w:trPr>
          <w:trHeight w:val="2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w:t>
            </w:r>
          </w:p>
        </w:tc>
      </w:tr>
      <w:tr>
        <w:trPr>
          <w:trHeight w:val="2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w:t>
            </w:r>
          </w:p>
        </w:tc>
      </w:tr>
      <w:tr>
        <w:trPr>
          <w:trHeight w:val="396"/>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-961390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-670560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-379095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-113030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720" w:space="720"/>
            <w:col w:w="78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income</w:t>
            </w:r>
          </w:p>
        </w:tc>
        <w:tc>
          <w:tcPr>
            <w:tcW w:w="6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(95,016)</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4"/>
                <w:szCs w:val="14"/>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 Stock and Stockholders’ Equity (Deficit)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46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 Redeemable</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B Redeemable</w:t>
            </w:r>
          </w:p>
        </w:tc>
        <w:tc>
          <w:tcPr>
            <w:tcW w:w="80" w:type="dxa"/>
            <w:vAlign w:val="bottom"/>
            <w:tcBorders>
              <w:lef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1640" w:type="dxa"/>
            <w:vAlign w:val="bottom"/>
            <w:gridSpan w:val="5"/>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164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Borders>
              <w:left w:val="single" w:sz="8" w:color="auto"/>
            </w:tcBorders>
          </w:tcPr>
          <w:p>
            <w:pPr>
              <w:spacing w:after="0"/>
              <w:rPr>
                <w:sz w:val="11"/>
                <w:szCs w:val="11"/>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left w:val="single" w:sz="8" w:color="auto"/>
            </w:tcBorders>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6"/>
                <w:szCs w:val="16"/>
                <w:color w:val="auto"/>
              </w:rPr>
            </w:pPr>
          </w:p>
        </w:tc>
        <w:tc>
          <w:tcPr>
            <w:tcW w:w="10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left w:val="single" w:sz="8" w:color="auto"/>
            </w:tcBorders>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(252,895)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152,787</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0" w:type="dxa"/>
            <w:vAlign w:val="bottom"/>
          </w:tcPr>
          <w:p>
            <w:pPr>
              <w:spacing w:after="0"/>
              <w:rPr>
                <w:sz w:val="1"/>
                <w:szCs w:val="1"/>
                <w:color w:val="auto"/>
              </w:rPr>
            </w:pPr>
          </w:p>
        </w:tc>
      </w:tr>
      <w:tr>
        <w:trPr>
          <w:trHeight w:val="200"/>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60" w:type="dxa"/>
            <w:vAlign w:val="bottom"/>
          </w:tcPr>
          <w:p>
            <w:pPr>
              <w:spacing w:after="0"/>
              <w:rPr>
                <w:sz w:val="14"/>
                <w:szCs w:val="14"/>
                <w:color w:val="auto"/>
              </w:rPr>
            </w:pPr>
          </w:p>
        </w:tc>
        <w:tc>
          <w:tcPr>
            <w:tcW w:w="16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 Redeemable</w:t>
            </w:r>
          </w:p>
        </w:tc>
        <w:tc>
          <w:tcPr>
            <w:tcW w:w="16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B Redeemable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80" w:type="dxa"/>
            <w:vAlign w:val="bottom"/>
            <w:tcBorders>
              <w:lef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1640" w:type="dxa"/>
            <w:vAlign w:val="bottom"/>
            <w:gridSpan w:val="5"/>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1640" w:type="dxa"/>
            <w:vAlign w:val="bottom"/>
            <w:gridSpan w:val="5"/>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Borders>
              <w:left w:val="single" w:sz="8" w:color="auto"/>
            </w:tcBorders>
          </w:tcPr>
          <w:p>
            <w:pPr>
              <w:spacing w:after="0"/>
              <w:rPr>
                <w:sz w:val="11"/>
                <w:szCs w:val="11"/>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left w:val="single" w:sz="8" w:color="auto"/>
            </w:tcBorders>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left w:val="single" w:sz="8" w:color="auto"/>
            </w:tcBorders>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72,070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(51,863)</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Accretion of redeemable convertible</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45,263</w:t>
            </w: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(94,456)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(95,016)</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to redemption value</w:t>
            </w: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80,247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118,765</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78,222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117,333</w:t>
            </w:r>
          </w:p>
        </w:tc>
        <w:tc>
          <w:tcPr>
            <w:tcW w:w="100" w:type="dxa"/>
            <w:vAlign w:val="bottom"/>
          </w:tcPr>
          <w:p>
            <w:pPr>
              <w:spacing w:after="0"/>
              <w:rPr>
                <w:sz w:val="20"/>
                <w:szCs w:val="20"/>
                <w:color w:val="auto"/>
              </w:rPr>
            </w:pPr>
          </w:p>
        </w:tc>
        <w:tc>
          <w:tcPr>
            <w:tcW w:w="80" w:type="dxa"/>
            <w:vAlign w:val="bottom"/>
            <w:tcBorders>
              <w:left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(153,754)</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1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95"/>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 of use assets and operating lease liability</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6"/>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0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0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158,830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92,777</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expenses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exercise receivables in prepaid expenses and other current assets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accretion of Series A and Series B redeemable convertible preferred stock</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95,016</w:t>
            </w:r>
          </w:p>
        </w:tc>
        <w:tc>
          <w:tcPr>
            <w:tcW w:w="0" w:type="dxa"/>
            <w:vAlign w:val="bottom"/>
          </w:tcPr>
          <w:p>
            <w:pPr>
              <w:spacing w:after="0"/>
              <w:rPr>
                <w:sz w:val="1"/>
                <w:szCs w:val="1"/>
                <w:color w:val="auto"/>
              </w:rPr>
            </w:pPr>
          </w:p>
        </w:tc>
      </w:tr>
      <w:tr>
        <w:trPr>
          <w:trHeight w:val="188"/>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 in accounts payable and accrued expenses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Nature of Business</w:t>
      </w:r>
    </w:p>
    <w:p>
      <w:pPr>
        <w:spacing w:after="0" w:line="11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Werewolf Therapeutics, Inc. (“Werewolf” or the “Company”) was incorporated in the state of Delaware in October 2017. The Company is an innovative biopharmaceutical company pioneering the development of therapeutics engineered to stimulate the body’s immune system for the treatment of cancer. The Company’s headquarters are located in Cambridge, Massachusetts.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Since inception, the Company has devoted substantially all of its time and efforts to performing research and development activities, raising capital and recruiting management and technical staff to support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had cash and cash equivalents of $143.7 million at March 31, 2022. The Company expects that its cash and cash equivalents will enable it to fund its operating expenses and capital expenditure requirements for at least twelve months from the filing date of this Quarterly Report. However, additional funding will be necessary beyond this point to fund future preclinical and clinical activities. The Company expects to finance its future cash needs through a combination of equity or debt financings, collaboration agreements, strategic alliances and licensing arrangements.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Consolidation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as of March 31, 2022 and December 31, 2021, and for the three months ended March 31, 2022 and 2021, have been prepared in accordance with the rules and regulations of the Securities and Exchange Commission (the “SEC”) and generally accepted accounting principles in the United States of America (“GAAP”) as found in the Accounting Standards Codification (“ASC”) and Accounting Standards Updates (“ASU”) of the Financial Accounting Standards Board (“FASB”) for condensed consolidated financial information. Accordingly, they do not include all of the information and footnotes required by GAAP for complete financial statements. In the opinion of management, these condensed consolidated financial statements reflect all normal recurring adjustments which are necessary for a fair presentation of the Company’s financial position and results of its operations, as of and for the periods presented. These condensed consolidated financial statements should be read in conjunction with the consolidated financial statements and notes thereto contained in the Company’s Annual Report on Form 10-K for the year ended December 31, 2021 filed with the SEC (the “Annual Report”).</w:t>
      </w:r>
    </w:p>
    <w:p>
      <w:pPr>
        <w:spacing w:after="0" w:line="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information presented in the condensed consolidated financial statements and related notes as of March 31, 2022, and for the three months ended March 31, 2022 and 2021, is unaudited. The December 31, 2021 condensed consolidated balance sheet included herein was derived from the audited financial statements as of that date, but does not include all disclosures, including notes, required by GAAP for complete financial statements.</w:t>
      </w:r>
    </w:p>
    <w:p>
      <w:pPr>
        <w:spacing w:after="0" w:line="6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Interim results for the three months ended March 31, 2022 are not necessarily indicative of the results that may be expected for the fiscal year ending December 31, 2022, or any future period.</w:t>
      </w:r>
    </w:p>
    <w:p>
      <w:pPr>
        <w:spacing w:after="0" w:line="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include the accounts of Werewolf Therapeutics, Inc. and its wholly-owned subsidiary, Werewolf Therapeutics Mass Securities, Inc. All intercompany transactions and balances have been eliminated in consolidation.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Significant Accounting Policies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significant accounting policies and estimates used in the preparation of the condensed consolidated financial statements are described in the Company’s audited financial statements as of and for the year ended December 31, 2021, and the notes thereto, which are included in the Annual Report. There have been no material changes in the Company’s significant accounting policies during the three months ended March 31,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the fair values of common stock and redeemable convertible preferred stock, and the fair value of the preferred stock tranche rights. Actual results could differ from those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Subsequent Events</w:t>
      </w:r>
    </w:p>
    <w:p>
      <w:pPr>
        <w:spacing w:after="0" w:line="11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 has evaluated subsequent events and transactions that occurred after the balance sheet date up to the date that the financial statements were issued. Other than as described in these financial statements, the Company did not identify any subsequent events that would have required adjustment to or disclosure in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Financial Instruments and Fair Value Measurements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measures the fair value of money market funds based on quoted prices in active markets for identical securities.</w:t>
      </w:r>
    </w:p>
    <w:p>
      <w:pPr>
        <w:spacing w:after="0" w:line="1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carrying amounts reflected in the condensed consolidated balance sheets for cash, prepaid expenses and other current assets, accounts payable and accrued expenses approximate their fair values, due to their short-term nature.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measured at fair value on a recurring basis as of March 31, 2022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 in</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5"/>
                <w:szCs w:val="15"/>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3"/>
                <w:szCs w:val="3"/>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2"/>
                <w:szCs w:val="12"/>
                <w:color w:val="auto"/>
              </w:rPr>
            </w:pPr>
          </w:p>
        </w:tc>
        <w:tc>
          <w:tcPr>
            <w:tcW w:w="126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measured at fair value on a recurring basis as of December 31, 2021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 in</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5"/>
                <w:szCs w:val="15"/>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3"/>
                <w:szCs w:val="3"/>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2"/>
                <w:szCs w:val="12"/>
                <w:color w:val="auto"/>
              </w:rPr>
            </w:pPr>
          </w:p>
        </w:tc>
        <w:tc>
          <w:tcPr>
            <w:tcW w:w="126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There were no changes in valuation techniques during the three months ended March 31, 2022. There were no liabilities measured at fair value on a recurring basis as of March 31, 2022 or December 31,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Restricted Cash</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maintained restricted cash of $1.3 million at each of March 31, 2022 and December 31, 2021. At each of March 31, 2022 and December 31, 2021, $0.1 million of the Company’s restricted cash balance is included within “Prepaid expenses and other current assets” in the accompanying condensed consolidated balance sheets. These amounts are comprised solely of letters of credit required pursuant to the Company’s leased office spaces.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as of March 31, 2022 and December 31, 2021 were comprised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t>
            </w:r>
          </w:p>
        </w:tc>
        <w:tc>
          <w:tcPr>
            <w:tcW w:w="1200" w:type="dxa"/>
            <w:vAlign w:val="bottom"/>
            <w:tcBorders>
              <w:bottom w:val="single" w:sz="8" w:color="CCEEFF"/>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3,427</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research</w:t>
            </w:r>
          </w:p>
        </w:tc>
        <w:tc>
          <w:tcPr>
            <w:tcW w:w="120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2,542</w:t>
            </w:r>
          </w:p>
        </w:tc>
      </w:tr>
      <w:tr>
        <w:trPr>
          <w:trHeight w:val="23"/>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20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2,200</w:t>
            </w:r>
          </w:p>
        </w:tc>
      </w:tr>
      <w:tr>
        <w:trPr>
          <w:trHeight w:val="23"/>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433</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8,765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6. Common and Preferred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3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is authorized to issue 200.0 million shares of common stock. Common stockholders are entitled to dividends if and when declared by the Company’s board of directors. As of March 31, 2022, no dividends on common stock had been declared by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reserved shares of common stock for issuance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issued and outstanding</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3,266</w:t>
            </w:r>
          </w:p>
        </w:tc>
      </w:tr>
      <w:tr>
        <w:trPr>
          <w:trHeight w:val="20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issued and outstanding</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4,192</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is authorized to issue 5.0 million shares of undesignated preferred stock in one or more series. As of March 31, 2022, no shares of preferred stock were issued or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Stock-based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2017 Stock Incentive Plan</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December 2017, the Company adopted the 2017 Stock Incentive Plan (the “2017 Plan”), as amended and restated, under which it could grant incentive stock options (“ISOs”), non-qualified stock options, restricted stock awards (“RSAs”), restricted stock units (“RSUs”), stock appreciation rights and other stock-based awards to eligible employees, officers, directors and consultants. The terms of stock options and RSAs, including vesting requirements, are determined by the board of directors, subject to the provisions of the 2017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Stock Incentive Plan</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April 2021, the board of directors adopted and the Company’s stockholders approved the 2021 Stock Incentive Plan (the “2021 Plan”), which became effective immediately prior to the effectiveness of the Company’s initial public offering (“IPO”). As a result of the adoption of the 2021 Plan, no further awards will be made under the 2017 Plan.</w:t>
      </w:r>
    </w:p>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2021 Plan provides for the grant of ISOs, non-qualified stock options, RSAs, RSUs, stock appreciation rights and other stock-based awards. The Company’s employees, officers, directors, consultants and advisors are eligible to receive awards under the 2021 Plan. The terms of awards, including vesting requirements, are determined by the board of directors, subject to the provisions of the 2021 Plan.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initially registered 3,352,725 shares of common stock under the 2021 Plan, pursuant to a Registration Statement on Form S-8 filed with the SEC on April 30, 2021, which was comprised of (i) 2,843,116 shares of common stock reserved for issuance under the 2021 Plan, (ii) 31,884 shares of common stock originally reserved for issuance under the 2017 Plan that became available for issuance under the 2021 Plan upon the completion of the IPO, and (iii) 477,725 shares of unvested restricted stock subject to repurchase by us that may become issuable under the 2021 Stock Incentive Plan following such repurchase. The 2021 Plan also provides that an additional number of shares will be added annually to the shares authorized for issuance under the 2021 Plan on the first day of each fiscal year, beginning with the fiscal year ending December 31, 2022 and continuing until, and including, the fiscal year ended December 31, 2031. The number of shares added each year will be equal to the lesser of (i) 5% of the number of outstanding common stock on such date and (ii) such amount as determined by the board of directors. Effective January 1, 2022, 1,380,397 additional shares were automatically added to the shares reserved for issuance under the 2021 Plan pursuant to this evergreen provision.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2022, there were 2,406,657 shares available for future issuance under the 2021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Employee Stock Purchase Plan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April 2021, the board of directors adopted and the Company’s stockholders approved the 2021 Employee Stock Purchase Plan (the “2021 ESPP”), which became effective immediately prior to the effectiveness of the IPO. The Company initially reserved 244,000 shares of common stock for future issuance under the 2021 ESPP. The 2021 ESPP provides that an additional number of shares will automatically be added to the shares reserved for issuance on the first day of each fiscal year, beginning with the fiscal year ending December 31, 2022 and continuing for each fiscal year until, and including, the fiscal year ending on December 31, 2032. The number of shares added each year will be equal to the lowest of (i) 488,000 shares of common stock, (ii) 1% of the number of shares of outstanding common stock on such date, and (iii) such amount as determined by the board of directors. The company had not initiated any offering periods under the 2021 ESPP as of March 31, 2022, and no shares were added on January 1, 2022, pursuant to the evergreen provision.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1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Total stock-based compensation expense recognized in the condensed consolidated statements of operations for the three months ended March 31, 2022 and 2021 was as follows (in thousands):</w:t>
      </w:r>
    </w:p>
    <w:p>
      <w:pPr>
        <w:spacing w:after="0" w:line="7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3"/>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Activity</w:t>
      </w:r>
    </w:p>
    <w:p>
      <w:pPr>
        <w:spacing w:after="0" w:line="1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may, at its discretion, repurchase unvested shares of restricted stock issued pursuant to the 2017 Plan at the initial purchase price if the employees or non-employees terminate their service relationship with the Company. The shares are recorded in stockholders’ equity as they vest.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restricted stock award activity during the three months ended March 31, 2022 (in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Vested</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6"/>
        </w:trPr>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2022</w:t>
            </w:r>
          </w:p>
        </w:tc>
        <w:tc>
          <w:tcPr>
            <w:tcW w:w="1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of March 31, 2022, there was unrecognized stock-based compensation expense related to unvested restricted stock awards of $0.3 million, which the Company expects to recognize over a weighted-average period of approximately 1.1 years.</w:t>
      </w:r>
    </w:p>
    <w:p>
      <w:pPr>
        <w:spacing w:after="0" w:line="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aggregate fair value of restricted stock awards that vested during the three months ended March 31, 2022 and 2021, based upon the fair values of the stock underlying the restricted stock awards on the day of vesting, was $0.5 million and $0.3 million,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p>
    <w:p>
      <w:pPr>
        <w:spacing w:after="0" w:line="1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fair value of stock options granted during the three months ended March 31, 2022 and 2021 was calculated on the date of grant using the following weighted-average assumptions:</w:t>
      </w:r>
    </w:p>
    <w:p>
      <w:pPr>
        <w:spacing w:after="0" w:line="72"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6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20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3"/>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0"/>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76.0 %</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79.8 %</w:t>
            </w:r>
          </w:p>
        </w:tc>
      </w:tr>
    </w:tbl>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Using the Black-Scholes option pricing model, the weighted-average grant date fair value of stock options granted during the three months ended March 31, 2022 and 2021 was $7.54 and $4.23 per share,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stock option activity during the three months ended March 31, 2022 (in thousands,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8"/>
        </w:trPr>
        <w:tc>
          <w:tcPr>
            <w:tcW w:w="6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March 31, 2022</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line="20" w:lineRule="exact"/>
              <w:rPr>
                <w:sz w:val="1"/>
                <w:szCs w:val="1"/>
                <w:color w:val="auto"/>
              </w:rPr>
            </w:pPr>
          </w:p>
        </w:tc>
      </w:tr>
      <w:tr>
        <w:trPr>
          <w:trHeight w:val="162"/>
        </w:trPr>
        <w:tc>
          <w:tcPr>
            <w:tcW w:w="6100" w:type="dxa"/>
            <w:vAlign w:val="bottom"/>
            <w:vMerge w:val="continue"/>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20" w:type="dxa"/>
            <w:vAlign w:val="bottom"/>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intrinsic fair value of stock options exercised during the three months ended March 31, 2022 and 2021 was $0.3 million and $0.1 million, respectively.</w:t>
      </w:r>
    </w:p>
    <w:p>
      <w:pPr>
        <w:spacing w:after="0" w:line="11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March 31, 2022, there was unrecognized stock-based compensation expense related to unvested stock options of $20.0 million, which the Company expects to recognize over a weighted-average period of approximately 2.9 years.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Net Loss Attributable to Common Stockholders per Share</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purposes of the diluted net loss attributable to common stockholders per share calculation, redeemable convertible preferred stock, outstanding stock options, unvested restricted stock awards and warrants to purchase common stock are considered to be potentially dilutive securities, however the following weighted-average amounts were excluded from the calculation of diluted net loss attributable to common stockholders per share because their effect would be anti-dilutive (in thousands):</w:t>
      </w:r>
    </w:p>
    <w:p>
      <w:pPr>
        <w:spacing w:after="0" w:line="11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 (as converted)</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18,280</w:t>
            </w:r>
          </w:p>
        </w:tc>
      </w:tr>
      <w:tr>
        <w:trPr>
          <w:trHeight w:val="19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r>
      <w:tr>
        <w:trPr>
          <w:trHeight w:val="21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common 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Subsequent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Jazz Collaboration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April 6, 2022, the Company entered into a Collaboration and License Agreement (the “Collaboration Agreement”) with Jazz Pharmaceuticals Ireland Limited (“Jazz”) pursuant to which the Company granted Jazz certain licenses to develop and commercialize products containing the Company’s Interferon alpha (“IFNα”) INDUKINE™ molecule, WTX-613, as well as products containing certain isolated recombinant polypeptides comprising IFNα that meet specified criteria (each such product, a “Licensed Product”). Under the Collaboration Agreement, the Company will initially be responsible for certain pre-clinical development activities with respect to WTX-613 and other development activities specified in mutually agreed upon development plans. Jazz will generally reimburse the Company for the cost of such activities. Jazz will be responsible for all other development and commercialization activities conducted to exploit the Licensed Products, including submission of an investigational new drug application (“IND”) to the U.S. Food and Drug Administration (the “FDA”).</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the terms of the Collaboration Agreement, the Company received an upfront payment of $15.0 million in April 2022. The Company is eligible to receive up to $520.0 million in development and regulatory milestones, and up to $740.0 million in sales-based milestones for all Licensed Products. In addition, the Company is eligible to receive tiered mid-single digit royalties based on Jazz’s, and any of its affiliates’ and sublicensees’ annual net sales of Licensed Products, subject to reduction in specified circumstances.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Pacific Western Bank Loan Facility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April 12, 2022 (the “Closing Date”), the Company entered into an Amended and Restated Loan and Security Agreement (the “Loan Agreement”) with Pacific Western Bank (“PWB”), which amended and restated in its entirety that certain Loan and Security Agreement dated May 29, 2020, as subsequently amended on December 22, 2020 and February 18, 2021, between the Company and PWB, which had expired on November 29, 2021 as a result of the Company’s decision not to draw down any term loans by such date. Under the terms of the Loan Agreement, PWB made available term loans in an aggregate principal amount of up to $40.0 million (the “Term Loans”), consisting of (i) a term loan in the aggregate principal amount of up to $20.0 million available at any time after the Closing Date until February 28, 2024, as extended to August 31, 2024 upon the satisfaction of certain conditions set forth in the Loan Agreement (such date, the “Amortization Date”), and (ii) a term loan in the aggregate principal amount of up to $20.0 million available at any time after the Closing Date until the Amortization Date upon the acceptance by the FDA of two IND submissions on or before March 31, 2023. As of May 10, 2022, the Term Loans remain undrawn.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The following discussion and analysis is meant to provide material information relevant to an assessment of the financial condition and results of operations of our company, including an evaluation of the amounts and uncertainties of cash flows from operations and from outside resources, so as to allow investors to better view our company from management’s perspective. The following discussion and analysis of our financial condition and results of operations should be read together with our condensed consolidated financial statements and related notes appearing elsewhere in this Quarterly Report on Form 10-Q, or Quarterly Report, and our Annual Report on Form 10-K for the year ended December 31, 2021, or the Annual Report on Form 10-K, that was filed with the United States Securities and Exchange Commission, or SEC, on </w:t>
      </w:r>
      <w:r>
        <w:rPr>
          <w:rFonts w:ascii="Times New Roman" w:cs="Times New Roman" w:eastAsia="Times New Roman" w:hAnsi="Times New Roman"/>
          <w:sz w:val="16"/>
          <w:szCs w:val="16"/>
          <w:color w:val="auto"/>
        </w:rPr>
        <w:t>March 24, 2022</w:t>
      </w:r>
      <w:r>
        <w:rPr>
          <w:rFonts w:ascii="Times New Roman" w:cs="Times New Roman" w:eastAsia="Times New Roman" w:hAnsi="Times New Roman"/>
          <w:sz w:val="16"/>
          <w:szCs w:val="16"/>
          <w:i w:val="1"/>
          <w:iCs w:val="1"/>
          <w:color w:val="auto"/>
        </w:rPr>
        <w:t>. In addition to historical information, the discussion and analysis contains forward-looking statements that involve risks, uncertainties and assumptions. Our actual results may differ materially from those anticipated in these forward-looking statements as a result of certain factors. We discuss factors we believe could cause or contribute to these differences below and elsewhere in this Quarterly Report, including those factors set forth in the section entitled “Cautionary Note Regarding Forward-Looking Statements and Industry Data” and in the section entitled “Risk Factors” in Part II, Item 1A of this Quarterly Report. You should carefully read the section entitled “Risk Factors” in Part II, Item 1A of this Quarterly Report.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an innovative biopharmaceutical company pioneering the development of therapeutics engineered to stimulate the body’s immune system for the treatment of cancer. We are leveraging our proprietary PREDATOR platform to design conditionally activated molecules that stimulate both adaptive and innate immunity with the goal of addressing the limitations of conventional proinflammatory immune therapies. Our molecules, which we refer to as INDUKINE molecules, are intended to activate selectively in the tumor microenvironment. Our most advanced product candidates, WTX-124 and WTX-330, are systemically delivered, conditionally activated Interleukin-2 and Interleukin-12, respectively, INDUKINE molecules for the treatment of multiple tumor types. We remain on track as we advance towards clinical development for WTX-124 and WTX-330.</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April 2022, we entered into a Collaboration and License Agreement, or the Collaboration Agreement, with Jazz Pharmaceuticals Ireland Limited, or Jazz, pursuant to which we granted Jazz certain licenses to develop and commercialize products containing our Interferon alpha (IFNα) INDUKINE molecule, WTX-613, as well as products containing certain isolated recombinant polypeptides comprising IFNα that meet specified criteria (each such product, a “Licensed Product”). Under the Collaboration Agreement, we will initially be responsible for certain pre-clinical development activities with respect to WTX-613 and other development activities specified in mutually agreed upon development plans. Jazz will generally reimburse us for the cost of such activities. Jazz will be responsible for all other development and commercialization activities conducted to exploit the Licensed Products, including submission of an IND to the FDA. Under the terms of the Collaboration Agreement, we received an upfront payment of $15.0 million in April 2022. We are also eligible to receive up to $520.0 million in development and regulatory milestones, and up to $740.0 million in sales-based milestones for all Licensed Products. In addition, we are eligible to receive tiered mid-single digit royalties based on Jazz’s, and any of its affiliates’ and sublicensees’, annual net sales of Licensed Products, subject to reduction in specified circumstances.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were incorporated and commenced operations in 2017. Since inception, we have devoted substantially all of our time and efforts to performing research and development activities, raising capital and recruiting management and technical staff to support these operations. To date, we have financed our operations primarily with proceeds from the sales of our convertible promissory notes and equity securities. From December 2017 to August 2018, we issued convertible promissory notes for aggregate gross cash proceeds of $11.0 million. From August 2019 to June 2020, we issued an aggregate of 80,246,565 shares of Series A preferred stock for aggregate gross cash proceeds of $44.2 million, together with conversion of all of our previously issued convertible promissory notes. In December 2020, we issued 78,222,173 shares of Series B preferred stock at a price of $0.92 per share, resulting in gross cash proceeds of $72.1 million. On May 4, 2021, we completed our initial public offering, or IPO, pursuant to which we issued and sold 7,500,000 shares of our common stock at a public offering price of $16.00 per share. We received net proceeds of approximately $109.2 million, after deducting underwriting discounts and commissions and other offering expenses payable by us.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Due to our significant research and development expenditures, we have accumulated substantial net losses since our inception. As of March 31, 2022, we had an accumulated deficit of $268.2 million. We expect to continue to incur substantial and increasing expenses and net losses for the foreseeable future, as we continue to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2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Impact of COVID-19 on Our Business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worldwide COVID-19 pandemic continues to evolve, and we will continue to monitor the COVID-19 pandemic closely. To date, we have not experienced a material financial statement impact or material business disruptions, including with our vendors, or impairments of any of our assets as a result of the pandemic. However, we cannot, at this time, predict the specific extent, duration or full impact that the COVID-19 pandemic will have on our financial statements and operations, including our ongoing and planned preclinical activities and future clinical trials. The extent of the impact of the COVID-19 pandemic, including the emergence of new variants or subvariants of the virus, on our business, operations and clinical development timelines and plans remains uncertain and will depend on certain developments, including the duration and spread of the pandemic and its impact on our contract research organizations, or CROs, third-party manufacturers, and other third parties with which we do business, as well as its impact on regulatory authorities and our key scientific and management personnel. To the extent possible, we are conducting business as usual.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which we do business.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Furthermore, the COVID-19 pandemic could affect our employees or the employees of research sites and service providers on which we rely, including CROs, as well as those of companies with which we do business, including our suppliers and contract manufacturing organizations, thereby disrupting our business operations. Quarantines and travel restrictions imposed by governments in the jurisdictions in which we and the companies with which we do business operate could materially impact the ability of employees to access preclinical and clinical sites, laboratories, manufacturing site and office. These and other events resulting from the COVID-19 pandemic could disrupt, delay, or otherwise adversely impact our business. Further information relating to the risks and uncertainties related to the ongoing COVID-19 pandemic is contained in the section titled “Risk Factors” in Part II, Item 1A of this Quarterly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Operations Overview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Through March 31, 2022, we have not generated any revenue from any sources, including from product sales, and we do not expect to generate any revenue from the sale of products in the foreseeable future. As a result of our entry into the Collaboration Agreement, we expect to recognize collaboration revenue as a result of the receipt of the upfront payment, and any milestone payments that we receive under the Collaboration Agreement.</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the foreseeable future, we expect substantially all of our revenue will be generated from our Collaboration Agreement and any other collaborations or agreements that we may enter into.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Research and development expenses consist primarily of costs incurred for our research activities, including our discovery efforts and the development of our product candidates, and include:</w:t>
      </w:r>
    </w:p>
    <w:p>
      <w:pPr>
        <w:spacing w:after="0" w:line="70" w:lineRule="exact"/>
        <w:rPr>
          <w:sz w:val="20"/>
          <w:szCs w:val="20"/>
          <w:color w:val="auto"/>
        </w:rPr>
      </w:pPr>
    </w:p>
    <w:p>
      <w:pPr>
        <w:ind w:left="960" w:hanging="385"/>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salaries, benefits and other related costs, including stock-based compensation expense, for personnel engaged in research and development functions;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under agreements with third parties that conduct research and preclinical activities on our behalf;</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outside consultants, including their fees, stock-based compensation and related travel expenses;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laboratory supplies and acquiring, developing and manufacturing preclinical study and future clinical trial materials;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facility-related expenses, which include direct depreciation costs and allocated expenses for rent and maintenance of facilities and other operating costs.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performance of the individual arrangements, which may differ from the pattern of billings incurred, and are reflected in our condensed consolidated financial statements as prepaid or accrued research and development expenses.</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typically use our employee and infrastructure resources across our development programs. We track external development costs by product candidate or development program, but we do not allocate personnel costs, license payments made under our licensing arrangements or other internal costs to specific development programs or product candidates.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external development costs for the three months ended March 31, 2022 and 2021 were as follows:</w:t>
      </w:r>
    </w:p>
    <w:p>
      <w:pPr>
        <w:spacing w:after="0" w:line="15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WTX-124</w:t>
            </w:r>
          </w:p>
        </w:tc>
        <w:tc>
          <w:tcPr>
            <w:tcW w:w="110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WTX-330</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WTX-613</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Pre-development candidates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2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external development costs</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We expect that our research and development expenses will continue to increase substantially for the foreseeable future as we initiate clinical trials of WTX-124 and WTX-330 and continue to discover and develop additional product candidates. As a result of our entry into the Collaboration Agreement, commencing in April 2022, our external preclinical development costs for WTX-613 will generally be reimbursed by Jazz.</w:t>
      </w:r>
    </w:p>
    <w:p>
      <w:pPr>
        <w:spacing w:after="0" w:line="6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process of conducting the necessary clinical research to obtain regulatory approval is costly and time-consuming. We cannot reasonably estimate or know the nature, timing and estimated costs of the efforts that will be necessary to complete development of our current or future product candidates. The actual probability of success for our product candidates will depend on a variety of factors, including:</w:t>
      </w:r>
    </w:p>
    <w:p>
      <w:pPr>
        <w:spacing w:after="0" w:line="63" w:lineRule="exact"/>
        <w:rPr>
          <w:sz w:val="20"/>
          <w:szCs w:val="20"/>
          <w:color w:val="auto"/>
        </w:rPr>
      </w:pPr>
    </w:p>
    <w:p>
      <w:pPr>
        <w:ind w:left="980" w:hanging="405"/>
        <w:spacing w:after="0" w:line="298" w:lineRule="auto"/>
        <w:tabs>
          <w:tab w:leader="none" w:pos="96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rate of progress and expenses of our ongoing research activities as well as any preclinical studies and clinical trials and other research and development activities;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 appropriate safety profile;</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enrollment in and completion of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product candidates show safety and efficacy in our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commercial manufacturing capabilities or making arrangements with third-party manufacturers;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patent and trade secret protection and regulatory exclusivity for our product candidates;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commercializing product candidates, if and when approved, whether alone or in collaboration with others;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acceptable safety profile of the products following any regulatory approval.</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change in the outcome of any of these variables with respect to the development of our current and future product candidates would significantly change the costs and timing associated with the development of those product candidates and we may never succeed in achieving regulatory approval for any of our product candidates. As a result of the uncertainties discussed above, we are unable to determine the duration and completion costs of our research and development activities.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benefits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expect that our general and administrative expenses will increase in the future as we increase our personnel headcount to support our continued research and development activities, manufacturing activities and expansion of our operations in connection with our anticipated commencement of clinical trials. We also anticipate increased expenses associated with operating as a public company, including costs for audit, legal, regulatory and tax-related services related to compliance with the rules and regulations of the SEC and listing standards applicable to companies listed on a national securities exchange, director and officer insurance premiums and investor relations costs.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2022 and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5"/>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r>
      <w:tr>
        <w:trPr>
          <w:trHeight w:val="206"/>
        </w:trPr>
        <w:tc>
          <w:tcPr>
            <w:tcW w:w="6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10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r>
      <w:tr>
        <w:trPr>
          <w:trHeight w:val="23"/>
        </w:trPr>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186"/>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7,914</w:t>
            </w:r>
          </w:p>
        </w:tc>
      </w:tr>
      <w:tr>
        <w:trPr>
          <w:trHeight w:val="23"/>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(7,914)</w:t>
            </w: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income</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6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research organization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Facilities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 consumables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28"/>
        </w:trPr>
        <w:tc>
          <w:tcPr>
            <w:tcW w:w="6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for the three months ended March 31, 2022 were $10.9 million, compared to $4.8 million for the three months ended March 31,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of approximately $6.1 million was primarily due to:</w:t>
      </w:r>
    </w:p>
    <w:p>
      <w:pPr>
        <w:spacing w:after="0" w:line="109" w:lineRule="exact"/>
        <w:rPr>
          <w:sz w:val="20"/>
          <w:szCs w:val="20"/>
          <w:color w:val="auto"/>
        </w:rPr>
      </w:pPr>
    </w:p>
    <w:p>
      <w:pPr>
        <w:ind w:left="980" w:hanging="405"/>
        <w:spacing w:after="0" w:line="280" w:lineRule="auto"/>
        <w:tabs>
          <w:tab w:leader="none" w:pos="9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million of increased manufacturing expense related to costs incurred with contract manufacturing organizations to support the production of preclinical and future clinical trial materials associated with our product candidates WTX-124, WTX-330 and WTX-613;</w:t>
      </w:r>
    </w:p>
    <w:p>
      <w:pPr>
        <w:spacing w:after="0" w:line="5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million of increased personnel costs, including $0.7 million of increased stock-based compensation expense, primarily due to increased headcount associated with expanded discovery efforts as well as the hiring of a clinical development team;</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of increased contract research organization expense, primarily driven by preclinical studies to support IND enabling studies for WTX-124 and WTX-330; and</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$0.7 million of increased facilities expense, primarily driven by our operating lease for our future headquarters entered in May 2021 and our short-term lease that commenced in April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general and administrative expenses for the three months ended March 31, 2022 and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28"/>
        </w:trPr>
        <w:tc>
          <w:tcPr>
            <w:tcW w:w="6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expenses were $4.4 million for the three months ended March 31, 2022, compared to $2.6 million for the three months ended March 31,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of approximately $1.8 million was primarily due to:</w:t>
      </w:r>
    </w:p>
    <w:p>
      <w:pPr>
        <w:spacing w:after="0" w:line="105" w:lineRule="exact"/>
        <w:rPr>
          <w:sz w:val="20"/>
          <w:szCs w:val="20"/>
          <w:color w:val="auto"/>
        </w:rPr>
      </w:pPr>
    </w:p>
    <w:p>
      <w:pPr>
        <w:ind w:left="980" w:hanging="405"/>
        <w:spacing w:after="0" w:line="298" w:lineRule="auto"/>
        <w:tabs>
          <w:tab w:leader="none" w:pos="9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million of increased personnel costs due to the requirements of operating as a public company, which included $0.5 million of increased stock-based compensation expense;</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$0.3 million of decreased professional service costs, primarily due to hiring to support the requirements of operating as a public company; and</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of increased other costs, primarily driven by $0.7 million of increased insurance costs associated with public company management liability insurance.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funded our operations through March 31, 2022 primarily through the issuance of convertible promissory notes for aggregate cash proceeds of $11.0 million, the issuance and sale of shares of our Series A and Series B preferred stock for aggregate cash proceeds of $116.3 million and the issuance and sale of shares of our common stock in our IPO in May 2021 for net proceeds of approximately $109.2 million, after deducting underwriting discounts and commissions and other offering expenses payable by 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Jazz Collaboration</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April 2022, we entered into the Collaboration Agreement with Jazz. Under the terms of the Collaboration Agreement, we received an upfront payment of $15.0 million in April 2022. We are eligible to receive up to $520.0 million in development and regulatory milestones, and up to $740.0 million in sales-based milestones for all Licensed Products. In addition, we are eligible to receive tiered mid-single digit royalties based on Jazz’s, and any of its affiliates’ and sublicensees’, annual net sales of Licensed Products, subject to reduction in specified circumstances.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Loan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April 2022, we entered into an amended and restated loan and security agreement, or the Loan Agreement, with Pacific Western Bank, or PWB, which amended and</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restated in its entirety our previous loan and security agreement with PWB. Under the terms of the Loan Agreement, PWB made available term loans in an aggregate principal amount of up to $40.0 million, of the Term Loans, consisting of (i) a term loan in the aggregate principal amount of up to $20.0 million available at any time until February 28, 2024, or as extended to August 31, 2024 upon the satisfaction of certain conditions set forth in the Loan Agreement (such date, the “Amortization Date”), and</w:t>
      </w:r>
    </w:p>
    <w:p>
      <w:pPr>
        <w:ind w:right="20" w:firstLine="8"/>
        <w:spacing w:after="0" w:line="345" w:lineRule="auto"/>
        <w:tabs>
          <w:tab w:leader="none" w:pos="25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 loan in the aggregate principal amount of up to $20.0 million available at any time until the Amortization Date upon the acceptance by the FDA of two IND submissions on or before March 31, 2023. As of May 10, 2022, the Term Loans remain undrawn.</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Term Loans bear interest on the outstanding daily balance at a floating annual rate equal to greater of: (i) 0.5% above the prime rate then in effect or (ii) 4.50%. If the prime rate changes throughout the term, the interest rate is adjusted effective on the date of the prime rate change. All interest chargeable under the Loan Agreement is computed on a 360-day year for the actual number of days elapsed, with interest payable monthly. The Loan Agreement provides for interest-only payments until the Amortization Date, at which time the aggregate outstanding principal balance of the Term Loans is required to be repaid in monthly installments on a 24-month repayment schedule. All unpaid principal and accrued and unpaid interest with respect to the Term Loans is due and payable in full on February 28, 2026, as extended to August 31, 2026 upon the satisfaction of certain conditions set forth in the Loan Agreement. At our option, we may elect to prepay all, or any part, of the outstanding Term Loans at any time without premium or penalty.</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are obligated to pay PWB a fee in the event of certain corporate transactions equal to either (i) the greater of (a) $200,000 and (b) 2.00% of the amount drawn under the Term Loans for a transaction occurring on or prior to March 31, 2023, or (ii) for any transaction occurring thereafter, the greater of (a) $400,000 and (b) 4.00% of the amount drawn under the Term Loans, which fee is referred to as a Success Fee. The Success Fee survives ten years from the date of payment of the Term Loans in full, such that, if the Loan Agreement is terminated prior to the payment of the Success Fee, we will remain obligated to pay the Success Fee upon the occurrence of a Success Fee Event during such ten-year period.</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Under the Loan Agreement, we are required to comply with certain negative covenants, which among other things, restrict us from incurring future debt or granting liens, effectuating a merger or consolidation with or into any other business organization, paying dividends or making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other distributions, selling or otherwise transferring our assets, and making investments in any entities or instruments, subject, in each case, to certain exceptions specified in the Loan Agreement. The Loan Agreement also contains standard affirmative covenants, including with respect to the issuance of audited consolidated financial statements, insurance, and maintenance of good standing and government compliance in our state of formation. On or before September 30, 2023, we are required to raise aggregate gross cash process of at least $50.0 million from the sale or issuance of our equity or from strategic partnerships or any similar transaction. From after receipt of</w:t>
      </w:r>
    </w:p>
    <w:p>
      <w:pPr>
        <w:spacing w:after="0" w:line="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those proceeds, we are required to maintain at all times at least $20.0 million of unrestricted cash in accounts with PWB. Our failure to comply with any of the foregoing covenants would result in an event of default under the Loan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Plan of Operation and Future Funding Requirements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 Further, inflation generally affects us by increasing our cost of labor and certain services. We do not believe that inflation had a material effect on our financial statements included elsewhere in this Quarterly Report; however, our operations may be adversely affected by inflation in the future.</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Due to our significant research and development expenditures, we have accumulated substantial net losses in each period since inception. We have incurred an accumulated deficit of $268.2 million through March 31, 2022. We expect to continue to incur substantial and increasing expenses and net losses for the foreseeable future, as we continue to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Based on our current research and development plans, we expect that our existing cash and cash equivalents of $143.7 million, along with the $15.0 million upfront payment received under our Collaboration Agreement and the first $20.0 million tranche under our Loan Agreement, will be sufficient to fund our operations through at least the fourth quarter of 2023. We have based this estimate on assumptions that may prove to be wrong, however, and we could use our capital resources sooner than we expect.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timing and amount of our operating expenditures will depend largely on:</w:t>
      </w:r>
    </w:p>
    <w:p>
      <w:pPr>
        <w:spacing w:after="0" w:line="113" w:lineRule="exact"/>
        <w:rPr>
          <w:sz w:val="20"/>
          <w:szCs w:val="20"/>
          <w:color w:val="auto"/>
        </w:rPr>
      </w:pPr>
    </w:p>
    <w:p>
      <w:pPr>
        <w:jc w:val="both"/>
        <w:ind w:left="980" w:hanging="405"/>
        <w:spacing w:after="0" w:line="272"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timing, costs and results of researching and developing our current product candidates or any future product candidates, including with respect to our planned clinical trials of WTX-124 and WTX-330; the costs associated with attracting, hiring and retaining skilled personnel and consultants as our preclinical and clinical activities increase;</w:t>
      </w:r>
    </w:p>
    <w:p>
      <w:pPr>
        <w:spacing w:after="0" w:line="6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our product candidates WTX-124, WTX-330, and any future product candidates for clinical trials and, if we are able to obtain marketing approval, for commercial sale;</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any third-party products used in our planned combination clinical trials that are not covered by such third parties or other sources;</w:t>
      </w:r>
    </w:p>
    <w:p>
      <w:pPr>
        <w:spacing w:after="0" w:line="113" w:lineRule="exact"/>
        <w:rPr>
          <w:rFonts w:ascii="Times New Roman" w:cs="Times New Roman" w:eastAsia="Times New Roman" w:hAnsi="Times New Roman"/>
          <w:sz w:val="16"/>
          <w:szCs w:val="16"/>
          <w:color w:val="auto"/>
        </w:rPr>
      </w:pPr>
    </w:p>
    <w:p>
      <w:pPr>
        <w:ind w:left="980" w:hanging="405"/>
        <w:spacing w:after="0" w:line="269"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additional expenses attributable to adjusting our development plans (including any supply related matters) as a result of the COVID-19 pandemic;</w:t>
      </w:r>
    </w:p>
    <w:p>
      <w:pPr>
        <w:spacing w:after="0" w:line="29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collaboration with Jazz;</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 involved in, obtaining marketing approval for WTX-124 and WTX-330, or any future product candidates, and our ability to obtain marketing approval and generate revenue from any potential commercial sales of such product candidates;</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building a sales force in anticipation of product commercialization and the cost of commercialization activities for WTX-124, WTX-330, or any future product candidates if we receive marketing approval, including marketing, sales and distribution costs;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emergence of competing therapies and other adverse market developments;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any payments we may be required to make pursuant to our license agreement with Harpoon Therapeutics, Inc., or Harpoon, or other future license agreements or collaboration agreements;</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claims, including litigation costs and the outcome of such litigation;</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product candidates;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in-license or acquire other products and technologies;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1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existing cash and cash equivalents will not be sufficient to complete development of WTX-124, WTX-330 or any other product candidate. Accordingly, we will be required to obtain further funding to achieve our business objectives.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may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cash flows and prospects.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regarding our cash flows for the three months ended March 31, 2022 and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r>
      <w:tr>
        <w:trPr>
          <w:trHeight w:val="194"/>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5"/>
        </w:trPr>
        <w:tc>
          <w:tcPr>
            <w:tcW w:w="7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(13,951)</w:t>
            </w:r>
          </w:p>
        </w:tc>
        <w:tc>
          <w:tcPr>
            <w:tcW w:w="10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(7,326)</w:t>
            </w:r>
          </w:p>
        </w:tc>
      </w:tr>
      <w:tr>
        <w:trPr>
          <w:trHeight w:val="210"/>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22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1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2022 was $14.0 million, compared to $7.3 million for the three months ended March 31, 2021. This increase of approximately $6.6 million was primarily attributable to an increase in net loss of $7.9 million for the three months ended March 31, 2022 compared to the three months ended March 31, 2021.</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investing activities for each of the three months ended March 31, 2022 and 2021 was nearly zero.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1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Net cash provided by financing activities for the three months ended March 31, 2022 was $0.2 million, compared to $0.5 million used in financing activities for the three months ended March 31, 2021. This increase of $0.7 million was primarily attributable to costs incurred in connection with our IPO.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normal course of business, we enter into agreements with CROs, contact manufacturers, vendors and other third parties for preclinical studies, manufacturing services and other services and products for operating purposes.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Loan Facility</w:t>
      </w:r>
    </w:p>
    <w:p>
      <w:pPr>
        <w:spacing w:after="0" w:line="18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See “Liquidity and Capital Resources – Sources of Liquidity – Term Loan Facility” </w:t>
      </w:r>
      <w:r>
        <w:rPr>
          <w:rFonts w:ascii="Times New Roman" w:cs="Times New Roman" w:eastAsia="Times New Roman" w:hAnsi="Times New Roman"/>
          <w:sz w:val="16"/>
          <w:szCs w:val="16"/>
          <w:color w:val="auto"/>
        </w:rPr>
        <w:t>for a description of our Loan Agreement. As of May 10, 2022, the Term Loans remain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undrawn.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Trial Collaboration and Supply Agreement</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August 2021, we entered into a Clinical Trial Collaboration and Supply Agreement, or Clinical Supply Agreement, with Merck &amp; Co., Inc., or Merck, to evaluate WTX-124 in combination with KEYTRUDA® (pembrolizumab), Merck’s anti-PD-1 therapy. The planned clinical trial will be conducted by us and is designed to evaluate the safety and preliminary efficacy of WTX-124 as a monotherapy and in combination with pembrolizumab in patients with solid tumors. Under the terms of the Clinical Supply Agreement, we will sponsor the study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Merck will supply us with pembrolizumab in exchange for jointly owning any inventions or discoveries relative to the combined use of WTX-124 and pembrolizumab.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party is responsible for its own internal costs and expenses to support the trial.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 Agreements</w:t>
      </w:r>
    </w:p>
    <w:p>
      <w:pPr>
        <w:spacing w:after="0" w:line="11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April 2019, we entered into an operating lease for approximately 9,949 square feet of office and laboratory space which commenced in April 2019 and terminates in March 2024. Total estimated base rent payments over the remaining term of the lease are approximately $1.8 million.</w:t>
      </w:r>
    </w:p>
    <w:p>
      <w:pPr>
        <w:spacing w:after="0" w:line="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March 2021, we entered into a short-term lease for approximately 7,500 square feet of office and laboratory space which commenced in April 2021 and terminates in May 2022. Total estimated base rent payments over the remaining term of the lease are approximately $0.1 million.</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June 2021, we entered into an operating lease for approximately 25,778 square feet of office and laboratory space in Watertown, Massachusetts, which will serve as our future headquarters. The lease term is targeted to commence in May 2022 and has an approximate eight-year term. Total estimated base rent payments over the term of the lease are approximately $19.3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leases, accrued expenses and stock-based compensation expense.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Our actual results may differ from those estimates under different assumptions or conditions.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material changes to our critical accounting policies and estimates as reported in the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 and Smaller Reporting Company Implications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as amended,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Under the JOBS Act, emerging growth companies can also delay adopting new or revised accounting standards until such time as those standards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Even after we no longer qualify as an emerging growth company, we may still qualify as a “smaller reporting company,” which would allow us to continue to take advantage of reduced disclosure requirements, including not being required to comply with the auditor attestation requirements of Section 404 of the Sarbanes-Oxley Act if we are a smaller reporting company with less than $100 million in annual revenue.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are a smaller reporting company as defined by Rule 12b-2 of the Securities Exchange Act of 1934, or the Exchange Act, and are not required to provide the information under this item.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our principal financial officer,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2022, our principal executive officer and principal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Our business is subject to numerous risks. You should carefully consider the risks described below, as well as the other information in this Quarterly Report on Form 10-Q, or Quarterly Report, including our condensed consolidated financial statements and the related notes and Item 2. Management’s Discussion and Analysis of Financial Condition and Results of Operations. The occurrence of any of the events or developments described below could materially and adversely affect our business, financial condition, results of operations and future growth prospects. Additional risks and uncertainties not presently known to us or that we currently deem immaterial also may impair our business operations. This Quarterly Report also contains forward-looking statements that involve risks and uncertainties. Our actual results could differ materially from those anticipated in the forward-looking statements as a result of a number of factors, including the risks described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Limited Operating History, Financial Position and Capital Requirements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have incurred significant operating losses since our inception and expect to incur significant losses for the foreseeable future.</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an early-stage biopharmaceutical company with a limited operating history upon which our business and prospects can be evaluated. We commenced operations in 2017. To date, we have focused primarily on organizing and staffing our company, business planning, raising capital, developing and optimizing our platform technology, identifying potential product candidates, enhancing our intellectual property portfolio, undertaking research and preclinical studies and enabling manufacturing for our development programs. Our approach to the discovery and development of product candidates based on our PREDATOR platform is unproven, and we do not know whether we will be able to develop any approved products of commercial value. In addition, we currently only have two product candidates that we are developing independently, WTX-124 and WTX-330, neither of which has entered clinical development, and all of our other development programs are in discovery or preclinical stages. We have not yet demonstrated an ability to successfully submit an investigational new drug application, or IND, to the U.S. Food and Drug Administration, or the FDA, or successfully complete any Phase 1, Phase 2 or pivotal clinical trials, obtain regulatory approvals, manufacture a clinical- or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2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incurred significant operating losses since our inception and have not yet generated any revenue. If our product candidates are not successfully developed and approved, we may never generate any revenue. Our net loss was $15.3 million for the three months ended March 31, 2022. As of March 31, 2022, we had an accumulated deficit of $268.2 million. We expect to continue to incur losses for the foreseeable future, and we anticipate these losses will increase substantially as WTX-124, WTX-330 and any future product candidates advance through preclinical studies and into clinical trials, and as we expand our clinical, regulatory, quality and manufacturing capabilities and incur additional costs associated with operating as a public company. If we obtain marketing approval for any of our product candidates, we will incur significant commercialization expenses for marketing, sales, manufacturing and distribution. We may encounter unforeseen expenses, difficulties, complications, delays and other known or unknown factors in achieving our business objectives. We will need to develop commercial capabilities, and we may not be successful in doing so. The net losses we incur may fluctuate significantly from quarter to quarter and year to year.</w:t>
      </w:r>
    </w:p>
    <w:p>
      <w:pPr>
        <w:spacing w:after="0" w:line="6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no products approved for commercial sale and have not generated any revenue from product sales. We may never generate any revenue or become profitable or, if we achieve profitability, we may not be able to sustain it.</w:t>
      </w:r>
    </w:p>
    <w:p>
      <w:pPr>
        <w:spacing w:after="0" w:line="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date, we have not generated any revenue from our product candidates or product sales, we do not expect to generate any revenue from the sale of products for a number of years and we may never generate revenue from the sale of products. Our ability to generate product revenue depends on a number of factors, including, but not limited to, our ability to:</w:t>
      </w:r>
    </w:p>
    <w:p>
      <w:pPr>
        <w:spacing w:after="0" w:line="63" w:lineRule="exact"/>
        <w:rPr>
          <w:sz w:val="20"/>
          <w:szCs w:val="20"/>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complete our ongoing and planned preclinical studies;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submit our INDs to the FDA for WTX-124, WTX-330 and any future product candidates;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initiate clinical trials for WTX-124, WTX-330 and any future product candidates;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enroll subjects in, and complete, our planned clinical trials and future clinical trials;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and successfully complete all safety and efficacy studies to obtain U.S. and foreign regulatory approval for our product candidates;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clinical and commercial manufacturing capabilities or make arrangements with third party manufacturers for clinical supply and commercial manufacturing;</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patent and trade secret protection or regulatory exclusivity for our product candidates;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our products, if and when approved, whether alone or in collaboration with others;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acceptance of the products, if and when approved, by patients, the medical community and third-party payors;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compete with other therapies;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healthcare coverage and adequate reimbursement;</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and defend intellectual property rights and claims;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continued acceptable safety profile of our products following approval.</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biopharmaceutical product development, we are unable to accurately predict the timing or amount of expenses we may incur in connection with these activities prior to generating product revenue. In addition, we may never succeed in these activities and, even if we do,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obtain substantial additional funding to finance our operations and complete the development and any commercialization of WTX-124, WTX-330 and any future product candidates. If we are unable to raise this capital when needed, we may be forced to delay, reduce or eliminate one or more of our research and development programs or other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incur increasing expenses and operating losses over the next several years as we pursue clinical development of our product candidates and implement the additional infrastructure necessary to support our operations as a public reporting company. Our revenue, if any, will be derived from sales of products that we do not expect to be commercially available for a number of years, if at all. If we obtain marketing approval for WTX-124, WTX-330 or any other product candidates that we develop, we expect to incur significant commercialization expenses related to product sales, marketing, distribution and manufacturing. Some of these expenses may be incurred in advance of marketing approval and could be substantial.</w:t>
      </w:r>
    </w:p>
    <w:p>
      <w:pPr>
        <w:spacing w:after="0" w:line="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March 31, 2022, we had cash and cash equivalents of $143.7 million. Our existing cash and cash equivalents will allow us to complete the development of WTX-124 through dose escalation and expansion trials as a monotherapy or in combination with an immune checkpoint inhibitor and the development of WTX-330 through dose escalation and expansion trials as a monotherapy or in combination with an immune checkpoint inhibitor.</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cash and cash equivalents will not be sufficient to complete development of WTX-124, WTX-330 or any other product candidate. Accordingly,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on attractive terms or at all, would have a negative effect on our financial condition and our ability to develop and commercialize our current and any future product candidates, and otherwise pursue our business strategy and we may be forced to delay, reduce or eliminate our research and development programs or future commercialization efforts.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our cash forecasts are based on assumptions that may prove to be wrong, and we could use our available capital resources earlier than we currently expect. Changing circumstances could cause us to consume capital significantly faster than we currently anticipate, and we may need to seek additional financing sooner than planned. In addition, we may seek additional capital due to favorable market conditions or strategic considerations even if we believe we have sufficient funds for our current or future operating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future capital requirements, both short-term and long-term, will depend on many factors, including:</w:t>
      </w:r>
    </w:p>
    <w:p>
      <w:pPr>
        <w:spacing w:after="0" w:line="127" w:lineRule="exact"/>
        <w:rPr>
          <w:sz w:val="20"/>
          <w:szCs w:val="20"/>
          <w:color w:val="auto"/>
        </w:rPr>
      </w:pPr>
    </w:p>
    <w:p>
      <w:pPr>
        <w:ind w:left="980" w:hanging="405"/>
        <w:spacing w:after="0" w:line="280"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timing, costs and results of researching and developing our current product candidates or any future product candidates, including with respect to our planned clinical trials of WTX-124 and WTX-330;</w:t>
      </w:r>
    </w:p>
    <w:p>
      <w:pPr>
        <w:spacing w:after="0" w:line="5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attracting, hiring and retaining skilled personnel and consultants as our preclinical and clinical activities increase;</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our lead product candidates, WTX-124, WTX-330 and any future product candidates for clinical trials and, if we are able to obtain marketing approval, for commercial sale;</w:t>
      </w:r>
    </w:p>
    <w:p>
      <w:pPr>
        <w:spacing w:after="0" w:line="5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any third-party products used in our planned combination clinical trials that are not covered by such third parties or other sources;</w:t>
      </w:r>
    </w:p>
    <w:p>
      <w:pPr>
        <w:spacing w:after="0" w:line="126" w:lineRule="exact"/>
        <w:rPr>
          <w:rFonts w:ascii="Times New Roman" w:cs="Times New Roman" w:eastAsia="Times New Roman" w:hAnsi="Times New Roman"/>
          <w:sz w:val="16"/>
          <w:szCs w:val="16"/>
          <w:color w:val="auto"/>
        </w:rPr>
      </w:pPr>
    </w:p>
    <w:p>
      <w:pPr>
        <w:ind w:left="980" w:hanging="405"/>
        <w:spacing w:after="0" w:line="260"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additional expenses attributable to adjusting our development plans (including any supply related matters) as a result of the COVID-19 pandemic;</w:t>
      </w:r>
    </w:p>
    <w:p>
      <w:pPr>
        <w:spacing w:after="0" w:line="300"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 involved in, obtaining marketing approval for WTX-124, WTX-330 or any future product candidates, and our ability to obtain marketing approval and generate revenue from any potential commercial sales of such product candidates;</w:t>
      </w:r>
    </w:p>
    <w:p>
      <w:pPr>
        <w:spacing w:after="0" w:line="5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building a sales force in anticipation of product commercialization and the cost of commercialization activities for WTX-124, WTX-330 or any future product candidates if we receive marketing approval, including marketing, sales and distribution costs;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emergence of competing therapies and other adverse market developments;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any payments we may be required to make pursuant to our license agreement with Harpoon Therapeutics, Inc., or Harpoon, or other future license agreements or collaboration agreements;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0" w:hanging="405"/>
        <w:spacing w:after="0" w:line="280" w:lineRule="auto"/>
        <w:tabs>
          <w:tab w:leader="none" w:pos="96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70"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claims, including litigation costs and the outcome of such litigation;</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product candidates;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in-license or acquire other products and technologies;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Except for the first $20.0 million tranche under our amended and restated loan and security agreement, or the Loan Agreement, with Pacific Western Bank, or PWB, we do not have any committed external source of funds and adequate additional financing may not be available to us on acceptable terms, or at all. In addition, our ability to raise additional capital may be adversely impacted by potential worsening global economic conditions resulting from the ongoing COVID-19 pandemic and any disruptions to, or volatility in, the credit and financial markets in the United States and worldwide that arise from the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or other operations.</w:t>
      </w:r>
    </w:p>
    <w:p>
      <w:pPr>
        <w:spacing w:after="0" w:line="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stockholders, restrict our operations or require us to relinquish rights to our platform technology or product candidates.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Unless and until we can generate a substantial amount of product revenue, we expect to seek additional capital through a combination of public or private equity offerings, debt financings, collaborations and licensing arrangements or other sources. Our issuance of additional securities, whether equity or debt, or the possibility of such issuance, may cause the market price of our common stock to decline, and our stockholders may not agree with our financing plans or the terms of such financings.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The incurrence of indebtedness would result in payment obligations and could require us to comply with certain restrictive covenants, such as limitations on our ability to incur additional debt, limitations on our ability to declare dividends, limitations on our ability to acquire or license intellectual property rights and other operating restrictions that could adversely impact our ability to conduct our business. Further, our ability to obtain additional debt financing may be limited by covenants we have made under our Loan Agreement, including our pledge to PWB of substantially all of our assets, other than our intellectual property, as collateral. If we raise additional funds through collaborations and licensing arrangements with third parties, we may have to relinquish valuable rights to our platform technology or product candidates or grant licenses on terms unfavorable to us. In addition, securing additional financing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term loan facility that requires us to comply with certain operating covenants and places restrictions on our operating and financial flexibility.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All outstanding obligations under the Loan Agreement are secured by our Company’s personal property (exclusive of any intellectual property), and are subject to acceleration upon an event of default. Under the Loan Agreement, we are required to comply with certain negative covenants, which among other things, restrict us from incurring future debt or granting liens, effectuating a merger or consolidation with or into any other business organization, paying dividends or making certain other distributions, selling or otherwise transferring our assets, and making investments in any entities or instruments, subject, in each case, to certain exceptions specified in the Loan Agreement. The Loan Agreement also contains standard affirmative covenants, including with respect to the issuance of audited consolidated financial statements, insurance, and maintenance of good standing and government compliance in our state of formation. On or before September 30, 2023, we are required to raise aggregate gross cash process of at least $50.0 million from the sale or issuance of our equity or from strategic partnerships or any similar transaction. From after receipt of those proceeds, we are required to maintain at all times at least $20.0 million of unrestricted cash in accounts with PWB. Our failure to comply with any of the foregoing covenants would result in an event of default under the Loan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financial obligations and contractual commitments under the Loan Agreement could have significant adverse consequences, including:</w:t>
      </w:r>
    </w:p>
    <w:p>
      <w:pPr>
        <w:spacing w:after="0" w:line="127" w:lineRule="exact"/>
        <w:rPr>
          <w:sz w:val="20"/>
          <w:szCs w:val="20"/>
          <w:color w:val="auto"/>
        </w:rPr>
      </w:pPr>
    </w:p>
    <w:p>
      <w:pPr>
        <w:ind w:left="980" w:hanging="405"/>
        <w:spacing w:after="0" w:line="280" w:lineRule="auto"/>
        <w:tabs>
          <w:tab w:leader="none" w:pos="96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dedicate a portion of our cash resources to the payment of interest and principal, reducing money available to fund working capital, capital expenditures, product development and other general corporate purposes;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adverse changes in general economic, industry and market conditions;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subjecting us to restrictive covenants that may reduce our ability to take certain corporate actions or obtain further debt or equity financing;</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changes in our business and the industry in which we compete;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our competitors that have less debt or better debt servicing options.</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our Loan Agreement, the occurrence of an event that would reasonably be expected to have a material adverse effect on our business, operations, assets or condition is an event of default. If an event of default occurs and the lenders accelerate the amounts due, we may not be able to make accelerated payments, and the lenders could seek to enforce security interests in the collateral securing such indebtedness, which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includes substantially all of our assets other than our intellectual property. In addition, the covenants under our Loan Agreement, the pledge of our assets as collateral and the negative pledge with respect to our intellectual property could limit our ability to obtain additional debt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or in their implementation or interpretation could adversely affect our business and financial condition.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Changes in tax laws or in their implementation or interpretation may adversely affect our business or financial condition. The Tax Cuts and Jobs Act of 2019, or TCJA, as amended by the Coronavirus Aid, Relief, and Economic Security Act, or CARES Act, significantly revises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taxable income (except for certain small businesses), limitation of the deduction for net operating losses to 80% of current year taxable income and elimination of net operating loss carrybacks, in each case, for losses arising in taxable years beginning after December 31, 2017 (though any such net operating losses may be carried forward indefinitely and, as a result of amendments made by the CARES Act, such net operating losses arising in taxable years beginning before January 1, 2021 are generally eligible to be carried back up to five years),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to the CARES Act, as part of Congress’s response to the COVID-19 pandemic, economic relief legislation was enacted in 2020 and 2021 containing tax provisions. Regulatory guidance under the TCJA and such additional legislation is and continues to be forthcoming, and such guidance could ultimately increase or lessen their impact on our business and financial condition. Also, as a result of the changes in the U.S. presidential administration and control of the U.S. Senate in 2021, additional tax legislation may be enacted; any such additional legislation could have an impact on us. In addition, it is uncertain if and to what extent various states will conform to the TCJA and additional tax legislation.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incurred substantial losses during our history. We do not anticipate generating revenue from sales of products for the foreseeable future, if ever, and we may never achieve profitability. As of December 31, 2021, we had federal and state net operating loss carryforwards of $80.3 million and $74.5 million, respectively. Under Section 382 of the Code, if a corporation undergoes an “ownership change” (generally defined as a greater than 50 percentage point change (by value) in the ownership of its equity by certain stockholders over a three-year period), the corporation’s ability to use its pre-change net operating loss carryforwards and other pre-change tax attributes to offset its post-change income may be limited. As a result of our prior private placement financings or other transactions, we may have in the past experienced, and we may in the future experience as a result of subsequent changes in our stock ownership, some of which are outside our control, an ownership change for purposes of Section 382. As a result, if we earn net taxable income, our ability to use our pre-change net operating loss carryforwards and other pre-change tax attributes to offset U.S. federal taxable income may be subject to limitations, which could result in increased future tax liability to us and could have an adverse effect on our future results of operations. There is also a risk that due to regulatory changes, such as suspension of the use of net operating losses, or for other unforeseen reasons, our existing net operating losses could expire or otherwise become unavailable to offset future income tax liabilities. As described above in “Changes in tax laws or in their implementation or interpretation could adversely affect our business and financial condition,” the TCJA, as amended by the CARES Act, includes changes to U.S. federal tax rates and rules governing net operating loss carryforwards that may significantly impact our ability to utilize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Discovery, Development, Regulatory Approval and Commercialization of Our Product Candidates</w:t>
      </w:r>
    </w:p>
    <w:p>
      <w:pPr>
        <w:spacing w:after="0" w:line="1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early in our development efforts and our current product candidates will require successful completion of preclinical and clinical development before we can seek regulatory approval for any product candidates.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early in our development efforts and have invested substantially all of our efforts and financial resources in building our PREDATOR platform and developing our initial INDUKINE molecules by leveraging our PREDATOR platform. We have yet to advance any of our lead product candidates into clinical trials. Additionally, we have a portfolio of programs that are in even earlier stages of preclinical development and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2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is highly dependent on the success of our initial INDUKINE molecules, which are in the early stages of development and will require significant additional preclinical and clinical development before we can seek regulatory approval for and launch a product commercially.</w:t>
      </w:r>
    </w:p>
    <w:p>
      <w:pPr>
        <w:spacing w:after="0" w:line="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business and future success is highly dependent on our ability to obtain regulatory approval of and then successfully launch and commercialize our initial INDUKINE molecules, including our most advanced product candidates, WTX-124 and WTX-330, each of which is in preclinical development.</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date, we have only had limited interactions with the FDA regarding our clinical development plans. We may experience issues surrounding preliminary trial execution, such as delays in FDA acceptance of our INDs, revisions in trial design and finalization of trial protocols, difficulties with patient recruitment and enrollment, quality and provision of clinical supplies, or early safety signals.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are not permitted to market any biological product in the United States until we receive approval of a Biologics License Application, or BLA, from the FDA. We have not previously submitted a BLA to the FDA, or similar marketing application to comparable foreign regulatory authorities. A BLA must include extensive preclinical and clinical data and supporting information to establish that the product candidate is safe, pure and potent for each desired indication. A BLA must also include significant information regarding the chemistry, manufacturing and controls for the product, and the manufacturing facilities must complete a successful pre-license inspection.</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FDA approval of a BLA is not guaranteed, and the review and approval process is expensive and uncertain and may take several years. The FDA also has substantial discretion in the approval process. The number and types of preclinical studies and clinical trials that will be required for BLA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spacing w:after="0" w:line="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ability to generate product revenues, which we do not expect will occur for many years, if ever, will depend heavily on our ability to successfully develop and commercialize of WTX-124, WTX-330 and any future product candidates. The success of our product candidates will depend on several factors, including the following:</w:t>
      </w:r>
    </w:p>
    <w:p>
      <w:pPr>
        <w:spacing w:after="0" w:line="57" w:lineRule="exact"/>
        <w:rPr>
          <w:sz w:val="20"/>
          <w:szCs w:val="20"/>
          <w:color w:val="auto"/>
        </w:rPr>
      </w:pPr>
    </w:p>
    <w:p>
      <w:pPr>
        <w:ind w:left="960" w:hanging="38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preclinical studies and clinical trials with favorable results;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INDs by the FDA or similar regulatory filing by comparable foreign regulatory authorities for the conduct of clinical trials of our product candidates and our proposed design of future clinical trials;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 including BLAs from the FDA and maintaining such approvals;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arrangements with our third-party manufacturers for, or establishing, commercial manufacturing capabilities;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approval;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scientists and business people who can develop our products and technology.</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WTX-124, WTX-330 or any future product candidates.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success of our business, including our ability to finance our company and generate any revenue in the future, will primarily depend on the successful development, regulatory approval and commercialization of WTX-124, WTX-330 and any future product candidates, which may never occur. However,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spacing w:after="0" w:line="6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approach to the discovery and development of product candidates based on our PREDATOR platform is unproven, and we do not know whether we will be able to develop any products of commercial value.</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success of our business depends primarily upon our ability to discover, develop and commercialize products based on our novel PREDATOR platform. While we have had favorable preclinical study results related to WTX-124 and WTX-330, both of which we are developing by leveraging our PREDATOR platform, we have not yet succeeded and may not succeed in demonstrating efficacy and safety for any product candidates in clinical trials or in obtaining marketing approval thereafter. We have no assurance that our PREDATOR platform will be able to produce product candidates that will successfully progress from preclinical studies into clinical development and ultimately marketing approval. We have invested substantially all of our efforts and financial resources in building our PREDATOR platform and developing our initial INDUKINE molecules by leveraging our PREDATOR platform, and our future success is highly dependent on the continued successful development of our platform and product candidates that we develop by leveraging our platform. Because all of our product candidates are based upon our PREDATOR platform, any development problems we may experience in the future related to any of our product candidates has the potential to impact the development of our other product candidates and any such development problems have the potential to cause significant delays or unanticipated costs and may ultimately not be able to be solved.</w:t>
      </w:r>
    </w:p>
    <w:p>
      <w:pPr>
        <w:spacing w:after="0" w:line="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addition, the clinical trial requirements of the FDA and other regulatory agencies and the criteria these regulators use to determine the safety and efficacy of a product candidate may vary according to the type, complexity, novelty and intended use and market of the potential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compliance with these requirements.</w:t>
      </w:r>
    </w:p>
    <w:p>
      <w:pPr>
        <w:spacing w:after="0" w:line="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Manufacturing INDUKINE molecules is subject to risk since they are a novel class of multi-domain biologics that include protease cleavable linkers, and they have never been produced on a clinical or commercial scale. We may be unable to manufacture INDUKINE molecules at the scale needed for clinical development and commercial production on a timely basis or at all, which would adversely affect our ability to conduct clinical trials and seek regulatory approvals or commercialize our programs, which would have an adverse effect on our business.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manufacturing cell line currently in use to develop INDUKINE manufacturing processes has not been used to manufacture multi-domain proteins that include our protease cleavable linkers. The presence of these linkers presents a risk that unintended proteolysis may occur during the manufacture of INDUKINE molecules and that undesired fragments may not be able to be sufficiently removed by the purification process. The novel multi-domain composition of INDUKINE molecules may present a risk due to its complexity and challenges inherent to the manufacture of biologics. As a result, the risk of delays or failure in the manufacture of our INDUKINE molecules is high. Before we can commence clinical trials for a product candidate, the manufactured INDUKINE molecules must complete extensive analytical testing and be qualified for use in human studies. We cannot be certain of the timely completion or outcome of our analytical testing and suitability for human studies and cannot predict if the FDA or other regulatory authorities will accept our proposed clinical material or if the outcome of our analytical testing will ultimately support the further development of our programs. As a result, we cannot be sure that we will be able to submit INDs or similar applications for our product candidates or any future preclinical programs on the timelines we expect, if at all, and we cannot be sure that the submission of INDs or similar applications will result in the FDA or other regulatory authorities allowing clinical trials to begin. In addition, we cannot be certain that we will be able to produce product candidates at the scale required for our clinical trials and, for any approved products, commercial production on a timely basis or at all, which could also have an adverse effect on our business.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chosen to initially develop our lead product candidate, WTX-124, for the treatment of advanced solid tumors. We plan to develop our second product candidate, WTX-330, for the treatment of relapsed or refractory advanced or metastatic tumors or lymphoma.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w:t>
      </w:r>
    </w:p>
    <w:p>
      <w:pPr>
        <w:spacing w:after="0" w:line="6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None of our product candidates has advanced into a clinical trial, and their risk of failure is high. Before we can commence clinical trials for a product candidate, we must complete extensive preclinical testing and studies that support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successfully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6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Preclinical studies and clinical trials are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risk of failure for our current and any future product candidates is high. It is impossible to predict when or if any of our product candidates will successfully complete preclinical studies or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To date, we have never advanced a product candidate into a clinical trial.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of WTX-124 and WTX-330, we do not know whether either of these product candidates will perform in our planned clinical trials as it has performed in these prior preclinical studies. Additionally, if we successfully commence clinical trials there can be no assurance that success in early clinical trials will lead to success in later clinical trials. Many companies in the biopharmaceutical and biotechnology industries have suffered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will be conducted as planned or completed on schedule, if at all. We may experience numerous unforeseen events during or as a result of clinical trials that could delay or prevent our ability to receive marketing approval or commercialize our product candidates, including:</w:t>
      </w:r>
    </w:p>
    <w:p>
      <w:pPr>
        <w:spacing w:after="0" w:line="71" w:lineRule="exact"/>
        <w:rPr>
          <w:sz w:val="20"/>
          <w:szCs w:val="20"/>
          <w:color w:val="auto"/>
        </w:rPr>
      </w:pPr>
    </w:p>
    <w:p>
      <w:pPr>
        <w:ind w:left="980" w:hanging="405"/>
        <w:spacing w:after="0" w:line="269"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generate sufficient preclinical, toxicology, or other in vivo or in vitro data to obtain regulatory authorizations to commence a clinical trial;</w:t>
      </w:r>
    </w:p>
    <w:p>
      <w:pPr>
        <w:spacing w:after="0" w:line="29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issues in reaching a consensus with regulatory authorities on trial design;</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42" w:lineRule="exact"/>
        <w:rPr>
          <w:rFonts w:ascii="Times New Roman" w:cs="Times New Roman" w:eastAsia="Times New Roman" w:hAnsi="Times New Roman"/>
          <w:sz w:val="16"/>
          <w:szCs w:val="16"/>
          <w:color w:val="auto"/>
        </w:rPr>
      </w:pPr>
    </w:p>
    <w:p>
      <w:pPr>
        <w:ind w:left="980" w:right="2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sites may deviate from a trial protocol or drop out of a trial or fail to conduct the trial in accordance with regulatory requirements;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subjects required for clinical trials of our product candidates may be larger than we anticipate or subjects may fail to enroll or remain in clinical trials at the rate we expect;</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that enroll in our studies may misrepresent their eligibility or may otherwise not comply with the clinical trial protocol, resulting in the need to drop the subject from the trial, increase the needed enrollment size for the clinical trial or extend its duration;</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may choose an alternative treatment for the indication for which we are developing our product candidates, or participate in competing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may experience severe or unexpected drug-related adverse effects;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unfavorable, inconclusive, or clinically insignificant results;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decide to, or regulators or IRBs or ethics committees may require us to, make changes to a clinical trial protocol or conduct additional preclinical studies or clinical trials, or we may decide to abandon product development programs;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add new or additional clinical trial sites;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manufacturing delays, and any changes to manufacturing processes or third party contractors that may be necessary or desired could result in other delays;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third party contractors may experience delays due to complications associated with the continuing COVID-19 pandemic;</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preclinical testing and studies and clinical trials of any product candidates may be greater than we anticipate or greater than our available financial resources;</w:t>
      </w:r>
    </w:p>
    <w:p>
      <w:pPr>
        <w:spacing w:after="0" w:line="42" w:lineRule="exact"/>
        <w:rPr>
          <w:rFonts w:ascii="Times New Roman" w:cs="Times New Roman" w:eastAsia="Times New Roman" w:hAnsi="Times New Roman"/>
          <w:sz w:val="16"/>
          <w:szCs w:val="16"/>
          <w:color w:val="auto"/>
        </w:rPr>
      </w:pPr>
    </w:p>
    <w:p>
      <w:pPr>
        <w:ind w:left="980" w:right="20" w:hanging="405"/>
        <w:spacing w:after="0" w:line="280"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of our product candidates may be insufficient or inadequate or we may not be able to obtain sufficient quantities of combination therapies for use in clinical trials;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reports may arise from preclinical or clinical testing of other cancer therapies that raise safety or efficacy concerns about our product candidates;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our product candidates, or such requirements may not be as we anticipate.</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w:t>
      </w:r>
    </w:p>
    <w:p>
      <w:pPr>
        <w:spacing w:after="0" w:line="76" w:lineRule="exact"/>
        <w:rPr>
          <w:sz w:val="20"/>
          <w:szCs w:val="20"/>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unplanned costs;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suspend or terminate ongoing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if at all;</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post-marketing testing or other requirements;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perform additional clinical trials to support approval;</w:t>
      </w:r>
    </w:p>
    <w:p>
      <w:pPr>
        <w:spacing w:after="0" w:line="113" w:lineRule="exact"/>
        <w:rPr>
          <w:rFonts w:ascii="Times New Roman" w:cs="Times New Roman" w:eastAsia="Times New Roman" w:hAnsi="Times New Roman"/>
          <w:sz w:val="16"/>
          <w:szCs w:val="16"/>
          <w:color w:val="auto"/>
        </w:rPr>
      </w:pPr>
    </w:p>
    <w:p>
      <w:pPr>
        <w:ind w:left="980" w:right="20" w:hanging="405"/>
        <w:spacing w:after="0" w:line="298" w:lineRule="auto"/>
        <w:tabs>
          <w:tab w:leader="none" w:pos="96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regulatory authorities withdraw, or suspend, their approval of the drug or impose restrictions on its distribution in the form of a modified risk evaluation and mitigation strategy, or REMS;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the addition of labeling statements, such as warnings or contraindications;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product removed from the market after obtaining marketing approval;</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lawsuits; or</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damage to our reputation.</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addition to the factors above, we may make formulation or manufacturing changes to our product candidates, in which case we may need to conduct additional preclinical studies to bridge our modified product candidates to earlier versions, which may be costly, time consuming and may not be successful at all.</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failure to successfully initiate and complete clinical trials of our product candidates and to demonstrate the efficacy and safety necessary to obtain regulatory approval to market any of our product candidates would significantly harm our business. We cannot provide assurances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clinical development activities could be delayed or otherwise adversely affected.</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84" w:lineRule="exact"/>
        <w:rPr>
          <w:sz w:val="20"/>
          <w:szCs w:val="20"/>
          <w:color w:val="auto"/>
        </w:rPr>
      </w:pPr>
    </w:p>
    <w:p>
      <w:pPr>
        <w:ind w:left="960" w:hanging="385"/>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of the disease under investigation;</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patient eligibility and the inclusion and exclusion criteria defined in the protocol;</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health of the patient population required for analysis of the trial’s primary endpoints;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of patients to trial sites;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of the trial;</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recruit clinical trial investigators with the appropriate competencies and experience;</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clinicians’ and patients’ perceptions as to the potential advantages of the drug candidate being studied in relation to other available therapies, including any new drugs that may be approved for the indications we are investigating;</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patient consents;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monitor patients adequately during and after treatment;</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patients enrolled in clinical trials will drop out of the trials before completion; and</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we may not be able to control, including the impacts of the COVID-19 pandemic, that may limit the availability of patients, principal investigators or staff or clinical sites.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additional financing, if needed.</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We have not yet initiated clinical trials for any of our product candidates and it is likely that, as is the case with many treatments for cancer,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by design,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 others identify undesirable side effects caused by such product candidates after such approval, a number of potentially significant negative consequences could result, including:</w:t>
      </w:r>
    </w:p>
    <w:p>
      <w:pPr>
        <w:spacing w:after="0" w:line="85" w:lineRule="exact"/>
        <w:rPr>
          <w:sz w:val="20"/>
          <w:szCs w:val="20"/>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“black box” warning or a contraindication;</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change the way such product candidates are distributed or administered, conduct additional clinical trials or change the labeling of the product candidates;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regulatory investigations and government enforcement actions;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or limit their approval of such product candidates;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decide to remove such product candidates from the marketplace;</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injury caused to individuals exposed to or taking our product candidates;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suffer reputational harm.</w:t>
      </w:r>
    </w:p>
    <w:p>
      <w:pPr>
        <w:spacing w:after="0" w:line="1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particular product candidate, if approved, and could significantly harm our business, results of operations and prospects.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COVID-19 pandemic or any future surges, including as a result of new variants and subvariants of the virus, or a similar pandemic, epidemic, or outbreak of an infectious disease, may materially and adversely affect our business and our financial results and could cause a disruption to the development of our product candidates.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Public health crises such as the COVID-19 pandemic or similar outbreaks could adversely impact our business. In response to the COVID-19 pandemic, governments throughout the world have implemented a variety of quarantines, travel restrictions and other public health and safety measures that have impacted, and may continue to impact, our operations. The ultimate extent to which COVID-19 or any future surges, including as a result of new variants and subvariants of the virus, impacts our operations, including our preclinical testing, will depend on future developments, which are highly uncertain and cannot be predicted with confidence, including the duration of the outbreak and the actions taken to contain COVID-19 or treat its impact, among others. Any negative impact COVID-19 has on the execution of our product development plans could adversely affect our ability to timely submit INDs for product candidates, negatively affect our ability to obtain regulatory approval for and to commercialize our product candidates, increase our operating expenses, and have a material adverse effect on our financial results.</w:t>
      </w:r>
    </w:p>
    <w:p>
      <w:pPr>
        <w:spacing w:after="0" w:line="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Effects of the COVID-19 pandemic that may delay or otherwise adversely affect our ongoing and planned preclinical activities, our planned clinical trials as well as our business generally, include:</w:t>
      </w:r>
    </w:p>
    <w:p>
      <w:pPr>
        <w:spacing w:after="0" w:line="70" w:lineRule="exact"/>
        <w:rPr>
          <w:sz w:val="20"/>
          <w:szCs w:val="20"/>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related to COVID-19 disruptions at CROs and contract manufacturers, or in the supply chain;</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receiving approval from regulatory authorities to initiate our planned clinical trials;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clinical site initiation, including difficulties in recruiting clinical site investigators and clinical site staff who, as healthcare providers, may have heightened exposure to COVID-19;</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enrolling and retaining patients in clinical trials;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clinical sites receiving the supplies and materials needed to conduct our planned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interpreting data from clinical trials due to the possible effects of COVID-19 on patients;</w:t>
      </w:r>
    </w:p>
    <w:p>
      <w:pPr>
        <w:spacing w:after="0" w:line="113" w:lineRule="exact"/>
        <w:rPr>
          <w:rFonts w:ascii="Times New Roman" w:cs="Times New Roman" w:eastAsia="Times New Roman" w:hAnsi="Times New Roman"/>
          <w:sz w:val="16"/>
          <w:szCs w:val="16"/>
          <w:color w:val="auto"/>
        </w:rPr>
      </w:pPr>
    </w:p>
    <w:p>
      <w:pPr>
        <w:ind w:left="980" w:right="20" w:hanging="405"/>
        <w:spacing w:after="0" w:line="298" w:lineRule="auto"/>
        <w:tabs>
          <w:tab w:leader="none" w:pos="9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healthcare resources away from the conduct of clinical trials, including the diversion of hospitals serving as clinical trial sites and hospital staff supporting the conduct of clinical trials;</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key clinical trial activities, such as clinical trial site monitoring, due to limitations on travel imposed or recommended by federal or state governments, employers and others;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in the operations of the FDA or other regulatory authorities, which may impact review and approval timelines; and</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difficulties or delays arising in our existing operations and company culture as a result of many of our employees working remotely, including those hired during the COVID-19 pandemic.</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of these effects, and other effects of the COVID-19 pandemic, including future outbreaks, the emergence of new variants and subvariants of the virus,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expect to develop WTX-124 and WTX-330, and potentially future product candidates, in combination with third-party drugs, some of which may still be in development, and we will have limited or no control over the safety, supply, regulatory status or regulatory approval of such drugs.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intend to develop WTX-124 and WTX-330, and likely other future product candidates, in combination with third-party cancer drugs, which may be either approved or unapproved. For example, we plan to conduct clinical trials of WTX-124 and WTX-330 both as monotherapy and in combination with immune checkpoint inhibitors. Our ability to develop and ultimately commercialize our current product candidates, and any future product candidates, used in combination with third-party drugs will depend on our ability 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Moreover, the development of product candidates for use in combination with another product or product candidate may present challenges that are not faced for single agent product candidates. For example, our planned clinical trials for WTX-124 and WTX-330 in combination with an immune checkpoint inhibitor may result in adverse events based on the combination therapy that may negatively impact the reported safety profile of the monotherapy in such clinical trials. Checkpoint inhibitors have been shown to have adverse events, including immune-related adverse events involving the lung, liver and other organ systems, which may limit the maximum dose in our clinical trials or otherwise negatively impact our combination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as well as our commercial prospects should we receive regulatory approval. Such developments may include changes to the third-party drug’s safety or efficacy profile, changes to the availability of the third-party drug, quality, and manufacturing and supply issues with respect to the third-party drug.</w:t>
      </w: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3" w:lineRule="exact"/>
        <w:rPr>
          <w:sz w:val="20"/>
          <w:szCs w:val="20"/>
          <w:color w:val="auto"/>
        </w:rPr>
      </w:pPr>
    </w:p>
    <w:p>
      <w:pPr>
        <w:ind w:left="960" w:hanging="385"/>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indications and/or product candidates;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candidates may, after further study, be shown to have harmful adverse effects or other characteristics that indicate they are unlikely to be effective drugs; or</w:t>
      </w:r>
    </w:p>
    <w:p>
      <w:pPr>
        <w:spacing w:after="0" w:line="70" w:lineRule="exact"/>
        <w:rPr>
          <w:rFonts w:ascii="Times New Roman" w:cs="Times New Roman" w:eastAsia="Times New Roman" w:hAnsi="Times New Roman"/>
          <w:sz w:val="16"/>
          <w:szCs w:val="16"/>
          <w:color w:val="auto"/>
        </w:rPr>
      </w:pPr>
    </w:p>
    <w:p>
      <w:pPr>
        <w:jc w:val="both"/>
        <w:ind w:left="980" w:hanging="405"/>
        <w:spacing w:after="0" w:line="271" w:lineRule="auto"/>
        <w:tabs>
          <w:tab w:leader="none" w:pos="96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2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w:t>
      </w:r>
    </w:p>
    <w:p>
      <w:pPr>
        <w:spacing w:after="0" w:line="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become exposed to costly and damaging liability claims, either when testing our product candidates in the clinic or following commercial sale, and any product liability insurance we may obtain may not cover all damages from such claims.</w:t>
      </w:r>
    </w:p>
    <w:p>
      <w:pPr>
        <w:spacing w:after="0" w:line="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960" w:hanging="385"/>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termination of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 or difficulties in recruiting new trial participants;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by regulators;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or settle the related litigation;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diversion of management’s time and our resources;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trial participants or patients;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negative financial impact;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of our product candidates, if approved.</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Although we will seek to procure and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never commercialized a product candidate and we may lack the necessary expertise, personnel and resources to successfully commercialize any products that receive regulatory approval, either on our own or together with collaborators.</w:t>
      </w:r>
    </w:p>
    <w:p>
      <w:pPr>
        <w:spacing w:after="0" w:line="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 are unable to build our own distribution and marketing capabilities or to find suitable partners for the commercialization of our product candidates, we may have difficulties generating revenue from them.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competition, which may result in others discovering, developing or commercializing products before or more successfully than we do.</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are developing our initial product candidates for the treatment of cancer and have not commenced clinical trials of or received marketing approval for any of our product candidates.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w:t>
      </w:r>
    </w:p>
    <w:p>
      <w:pPr>
        <w:spacing w:after="0" w:line="7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are aware of a number of companies that are developing cytokines as immunotherapies, as well as different modalities, including monoclonal antibodies, cell therapies, oncolytic viruses and vaccines.</w:t>
      </w:r>
    </w:p>
    <w:p>
      <w:pPr>
        <w:spacing w:after="0" w:line="2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Our lead product candidate, WTX-124, if approved, may face competition from other Interleukin-2, or IL-2, based cancer therapies. Proleukin (aldesleukin), a synthetic protein very similar to IL-2, is approved and marketed for the treatment of metastatic renal cell carcinoma and melanoma. In addition, we are aware that a number of other companies have modified IL-2 programs in development for the treatment of cancer, including Alkermes Plc, Ascendis Pharma A/S, Asher Biotherapeutics, Inc., BioNTech SE, Medicenna Therapeutics Corp., Neoleukin Therapeutics, Inc., F. Hoffmann-La Roche AG, or Roche, Synthekine, Inc., Synthorx, Inc. (Sanofi) and Xilio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no approved IL-12 therapies currently on the market for the treatment of cancer. However, if approved, WTX-330 may face competition from other IL-12 cytokine programs in clinical and preclinical development for oncology indications, including programs from Sanofi S.A. (Amunix), DragonFly Therapeutics, Inc., Juno Therapeutics, Inc. (Bristol-Myers Squibb Company), Oncorus, Inc., Turnstone Biologics Corp. (partnered with Takeda Pharmaceutical Company Limited, or Takeda), Philogen S.p.A., Codiak BioSciences, Inc., Oncosec Medical Incorporated, and Xilio Therapeutics, Inc.</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approved, WTX-613 may face competition from other Interferon alpha, or IFNα, cancer therapies. Intron-A, a recombinant IFNα-2b molecule marketed by Merck &amp; Co., Inc., has been approved by the FDA for the treatment of several forms of cancer, including specific types of leukemia and lymphoma. We are aware of other IFNα programs targeting the treatment of cancer in development by Immunomedics (acquired by Gilead Sciences, Inc.) and Takeda. Roferon A, a recombinant IFNα-2a molecule developed and marketed by Roche for the treatment of specific types of leukemia, was discontinued globally in 2020.</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Many of our competitors, either alone or with their collaborators, have significantly greater financial resources and expertise in research and development, manufacturing, preclinical and clinical testing, obtaining regulatory approvals and reimbursement and marketing 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drugs would harm our business, financial condition and results of operations.</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sizes of the potential markets for our product candidates are difficult to estimate and, if any of our assumptions are inaccurate, the actual markets for our product candidates may be smaller than our estimates.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potential market opportunities for our product candidates are difficult to estimate and, if our product candidates are approved, will ultimately depend on, among other things, the indications for which our product candidates are approved for sale, any drugs with which our product candidates are co-administered, the success of competing therapies and therapeutic approaches, acceptance by the medical community, patient access, product pricing and reimbursement.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successful commercialization of our product candidates will depend in part on the extent to which we obtain and maintain favorable coverage, adequate reimbursement levels and pricing policies with third party payors.</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United States, the European Union or elsewhere will be available for our product candidates, if approved, or any product that we may develop, and any reimbursement that may become available may be decreased or eliminated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approved. Even if our product candidates are approved and we obtain coverage for our product candidates by a third-party payor, the resulting reimbursement payment rates may not be adequate or may require 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If reimbursement is not available or is available only at limited levels, we may not be able to successfully commercialize our product candidates, if approved, and may not be able to obtain a satisfactory financial return on our product candidates.</w:t>
      </w:r>
    </w:p>
    <w:p>
      <w:pPr>
        <w:spacing w:after="0" w:line="2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There is significant uncertainty related to the insurance coverage and reimbursement of newly approved products. The regulations that govern marketing approvals, pricing and reimbursement for new medicines vary widely from country to country. In the United States, third-party payors play an important role in determining the extent to which new drugs and biologics will be covered. The Medicare and Medicaid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programs increasingly are used as models in the United States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 uniform policy for coverage and reimbursement for products exists among third-party payors in the United States. Therefore, coverage and reimbursement for products can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Even if a product candidate we develop receives marketing approval, it may fail to achieve the degree of market acceptance by physicians, patients, hospitals, cancer treatment centers, third-party payors and others in the medical community necessary for commercial success.</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degree of market acceptance of any product, if approved for commercial sale, will depend on a number of factors, including:</w:t>
      </w:r>
    </w:p>
    <w:p>
      <w:pPr>
        <w:spacing w:after="0" w:line="127" w:lineRule="exact"/>
        <w:rPr>
          <w:sz w:val="20"/>
          <w:szCs w:val="20"/>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efficacy, safety and potential advantages compared to alternative treatments;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product’s convenience and ease of administration compared to alternative treatments;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is approved;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a novel treatment and of physicians to prescribe such treatments;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recommendations with respect to the product in guidelines published by scientific organizations;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sufficient third-party insurance coverage and adequate reimbursement, including, if applicable, with respect to the use of the product as a combination therapy;</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sales and distribution support;</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sales and marketing efforts;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products for the same indications;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the product for sale at competitive prices.</w:t>
      </w:r>
    </w:p>
    <w:p>
      <w:pPr>
        <w:spacing w:after="0" w:line="1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we obtain marketing approval for a product but such product does not achieve an adequate level of market acceptance, we may not generate or derive significant revenue from that product and our business, financial condition and results of operations may be adversely affected.</w:t>
      </w:r>
    </w:p>
    <w:p>
      <w:pPr>
        <w:spacing w:after="0" w:line="5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expect the product candidates we develop will be regulated as biological products, or biologics, and therefore they may be subject to competition sooner than anticipated.</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 reference biological product is granted 12 years of non-patent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depend, and expect to continue to depend, upon third parties, including independent investigators and CROs, to conduct preclinical studies and our planned clinical trials. We expect to have to negotiate budgets and contracts with CROs and trial sites, and any of these third parties may terminate their engagements with us at any time, any of which may result in delays to our development timelines and increased costs.</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reliance on these third parties for research and development activities will reduce our control over these activities but will not relieve us of our responsibility to ensure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current Good Clinical Practices, or cGCP, requirements for clinical trials, which are regulations and guidelines enforced by the FDA and comparable foreign regulatory authorities for product candidates in clinical development. Regulatory authorities enforce these cGCP requirements through periodic inspections of trial sponsors, clinical investigators and trial sites. If we or any of these third parties fail to comply with applicable cGCP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cGCP requirements. In addition, our clinical trials must be conducted with biologic product produced under current Good Manufacturing Practice, or cGMP, requirements.</w:t>
      </w:r>
    </w:p>
    <w:p>
      <w:pPr>
        <w:spacing w:after="0" w:line="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failure or any failure by these third parties to comply with the applicable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Any third parties conducting our clinical trials will not be our employees and, except for remedies that may be available to us under our agreements with such third parties, we cannot control whether or not they devote sufficient time and resources to our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could materially impact our ability to meet our desired clinical development timelines. Though we plan to carefully manage our relationships with CROs, there can be no assurance that we will not encounter challenges or delays in the future or that these delays or challenges will not have a material adverse impact on our business, financial condition and prospects.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manufacturing of biologics is complex and we do not have our own clinical manufacturing capabilities. We will rely on third parties to produce preclinical, clinical and commercial supplies of all current and any future product candidates.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date, we have produced limited quantities of our product candidates at our own facilities for preclinical evaluation. However, going forward we will rely on third-party contract manufacturers to manufacture some of our preclinical supply and all of our clinical trial supply. We do not own manufacturing facilities capable producing drug products at clinical scale. We have in the past experienced delays in receiving preclinical product supplies from third-party manufacturers and there can be no assurance that our preclinical and clinical development product supplies from third parties will not in the future be limited or interrupted, or be of satisfactory quality or continue to be available at acceptable prices. Additionally, the process of manufacturing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other supply disruptions and higher costs. If microbial, viral or other contaminations are discovered at the facilities of our contract manufacturing organizations, or CMOs, such facilities may need to be closed for an extended period of time to investigate and remedy the contamination, which could delay clinical trials, result in higher costs of drug product and adversely affect our business.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engaged CMOs to provide certain services to support our clinical and preclinical development. Pursuant to the terms of separate contract manufacturing services agreements, we have engaged one CMO to provide drug substance manufacturing process development and to manufacture WTX-124 and WTX-330 drug substance to cGMP specifications for use in the further manufacture of clinical supply, a second CMO to provide drug product manufacturing process development and to manufacture clinical supply of WTX-124 and WTX-330 vialled drug product to cGMP specifications, and a third CMO to provide drug substance manufacturing for WTX-613. To support the manufacture of clinical vialled drug product, our CMO will conduct substantial analytical testing of WTX-124 and WTX-330 vialled drug product. If our CMOs are unable to supply us with sufficient clinical grade quantities of WTX-124 or WTX-330, and we are unable to timely establish an alternate supply from one or more third-party contract manufacturers, we will experience delays in our development efforts as we seek to locate and qualify new manufacturers. In particular, any replacement of our CMOs could require significant effort and expertise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because there may be a limited number of qualified replacements or capacity could be limited at each of the qualified replacements. Additionally, contract manufacturers may rely on single source suppliers for certain of the raw materials for our preclinical and clinical product supplies. If current or future suppliers are delayed or unable to supply sufficient raw materials to manufacture product for our preclinical studies and clinical trials, we may experience delays in our development efforts as materials are obtained or we locate and qualify new raw material manufacturers. Further, for our planned combination clinical trials of WTX-124 or WTX-330 with immune checkpoint inhibitors, we will need to procure supply of the immune checkpoint inhibitors for use in the clinical trials. If we are unable to procure sufficient supply from third-party manufacturers or other sources, we may be required to purchase our supply of checkpoint inhibitors on the open market, which may result in significant additional expense.</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manufacturing process for a clinical candidate is subject to FDA and foreign regulatory authority review. Suppliers and manufacturers must meet applicable manufacturing requirements and undergo rigorous facility and process validation tests required by regulatory authorities in order to comply with their standards, such as cGMPs. In the event that any of our CMOs fail to comply with such requirements or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The transfer of the manufacturing of biologic products to a new CMO and any additional process development that may be necessary can be lengthy and involve significant additional costs. If we are required to change CMOs for any reason, we will be required to verify that the new CMO maintains facilities and procedures that comply with quality standards and with all applicable regulations and guidelines. The delays associated with the verification of a new CMO would negatively affect our ability to develop product candidates in a timely manner or within budget.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our reliance on third-party manufacturers exposes us to risks beyond our control, including the:</w:t>
      </w:r>
    </w:p>
    <w:p>
      <w:pPr>
        <w:spacing w:after="0" w:line="113" w:lineRule="exact"/>
        <w:rPr>
          <w:sz w:val="20"/>
          <w:szCs w:val="20"/>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meet our drug specifications and quality requirements consistently;</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initiate or continue preclinical studies or clinical trials of product candidates under development;</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inability to procure or expand sufficient manufacturing capacity;</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and drug quality issues, including related to scale-up of manufacturing;</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cGMP and similar foreign standards;</w:t>
      </w:r>
    </w:p>
    <w:p>
      <w:pPr>
        <w:spacing w:after="0" w:line="113" w:lineRule="exact"/>
        <w:rPr>
          <w:rFonts w:ascii="Times New Roman" w:cs="Times New Roman" w:eastAsia="Times New Roman" w:hAnsi="Times New Roman"/>
          <w:sz w:val="16"/>
          <w:szCs w:val="16"/>
          <w:color w:val="auto"/>
        </w:rPr>
      </w:pPr>
    </w:p>
    <w:p>
      <w:pPr>
        <w:jc w:val="both"/>
        <w:ind w:left="980" w:hanging="405"/>
        <w:spacing w:after="0" w:line="272" w:lineRule="auto"/>
        <w:tabs>
          <w:tab w:leader="none" w:pos="9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a limited number of sources, and in some cases, single sources for drug components and raw materials, such that if we are unable to secure a sufficient supply of these drug components and raw materials, we will be unable to manufacture and sell our future product candidate in a timely fashion, in sufficient quantities or under acceptable terms;</w:t>
      </w:r>
    </w:p>
    <w:p>
      <w:pPr>
        <w:spacing w:after="0" w:line="6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qualified backup suppliers for those components and raw materials that are purchased from a sole or single source supplier;</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negotiate manufacturing agreements with third parties under commercially reasonable terms;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nonrenewal of manufacturing agreements with third parties in a manner or at a time that is costly or damaging to us;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operations by conditions unrelated to our business or operations, including the bankruptcy of the manufacturer or supplier or the issuance of an FDA Form 483 notice or warning letter, or as a result of the effects of the COVID-19 pandemic on third-party manufacturers;</w:t>
      </w:r>
    </w:p>
    <w:p>
      <w:pPr>
        <w:spacing w:after="0" w:line="5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carrier disruptions or increased costs that are beyond our control;</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deliver our drugs under specified storage conditions and in a timely manner;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misappropriation of our proprietary information, including our trade secrets and know-how.</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Some of these events could be the basis for FDA action, including injunction, recall, seizure or total or partial suspension of production, any of which could result in a failure to begin our clinical trials or having to stop ongoing clinical trials. In addition, our CMOs and suppliers are subject to FDA inspection from time to time. Failure by our CMOs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CMOs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the regulatory action, our clinical or commercial supply of drug and packaging and other services could be interrupted or limited, which could harm our business.</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our CMOs are or may be engaged with other companies to supply and manufacture materials or products for such companies, which also exposes our suppliers and CMOs to regulatory risks for the production of such materials and products. As a result, failure to meet the regulatory requirements for the production of those materials and products may also affect the regulatory clearance of a contract supplier’s or CMO’s facility, which could impact the contract supplier’s or CMO’s ability to manufacture drug product for us.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entered into, and may in the future seek to enter into, collaborations or other similar arrangements for our product candidates. If we are unable to enter into such collaborations, or if these collaborations are not successful, our business could be adversely affected.</w:t>
      </w:r>
    </w:p>
    <w:p>
      <w:pPr>
        <w:spacing w:after="0" w:line="52"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6"/>
          <w:szCs w:val="16"/>
          <w:color w:val="auto"/>
        </w:rPr>
        <w:t>A part of our strategy is to strategically evaluate and, as deemed appropriate, enter into collaborations in the future on an asset-by-asset basis to maximize the value of each of our programs. For example, in April 2022, we entered into a Collaboration and License Agreement, or the Collaboration Agreement, with Jazz Pharmaceuticals Ireland Limited, or Jazz, pursuant to which we granted Jazz certain licenses to develop and commercialize products containing our Interferon alpha (“IFNα”) INDUKINE™</w:t>
      </w:r>
    </w:p>
    <w:p>
      <w:pPr>
        <w:spacing w:after="0" w:line="1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6"/>
          <w:szCs w:val="16"/>
          <w:color w:val="auto"/>
        </w:rPr>
        <w:t>molecule, WTX-613, as well as products containing certain isolated recombinant polypeptides comprising IFNα that meet specified criteria. We may also enter into collaborations in connection with our platform technology in order to advance the development of programs beyond our initial focus in cytokines. Such collaborations may include the development and commercialization of any of our product candidates or the commercialization of any of our product candidates that are approved for marketing outside the United States. Our likely collaborators for any collaboration arrangements include large and mid-size pharmaceutical companies, regional and national pharmaceutical companies and biotechnology companies. We have limited capabilities for product development and do not yet have any capability for commercialization. Accordingly, we may enter into collaborations with other companies to provide us with important technologies and funding for our programs and platform technology. We will face significant competition in seeking appropriate collaborators. We may not be successful in our efforts to establish a strategic partnership or other alternative arrangements for any product candidates because they may be deemed to be at too early of a stage of development for collaborative effort and third parties may not view such product candidates as having the requisite potential to demonstrate safety and efficacy. We may also be restricted under future license agreements from entering into agreements on certain terms or at all with potential collaborators.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Existing and future collaborations involving our product candidates may pose significant risks to us, including the following:</w:t>
      </w:r>
    </w:p>
    <w:p>
      <w:pPr>
        <w:spacing w:after="0" w:line="113" w:lineRule="exact"/>
        <w:rPr>
          <w:sz w:val="20"/>
          <w:szCs w:val="20"/>
          <w:color w:val="auto"/>
        </w:rPr>
      </w:pPr>
    </w:p>
    <w:p>
      <w:pPr>
        <w:ind w:left="960" w:hanging="385"/>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these collaborations;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perform their obligations as expected;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grant exclusive rights to our collaborators that would prevent us from collaborating with others;</w:t>
      </w:r>
    </w:p>
    <w:p>
      <w:pPr>
        <w:spacing w:after="0" w:line="126" w:lineRule="exact"/>
        <w:rPr>
          <w:rFonts w:ascii="Times New Roman" w:cs="Times New Roman" w:eastAsia="Times New Roman" w:hAnsi="Times New Roman"/>
          <w:sz w:val="16"/>
          <w:szCs w:val="16"/>
          <w:color w:val="auto"/>
        </w:rPr>
      </w:pPr>
    </w:p>
    <w:p>
      <w:pPr>
        <w:jc w:val="both"/>
        <w:ind w:left="980" w:hanging="405"/>
        <w:spacing w:after="0" w:line="263"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83"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6" w:lineRule="exact"/>
        <w:rPr>
          <w:rFonts w:ascii="Times New Roman" w:cs="Times New Roman" w:eastAsia="Times New Roman" w:hAnsi="Times New Roman"/>
          <w:sz w:val="16"/>
          <w:szCs w:val="16"/>
          <w:color w:val="auto"/>
        </w:rPr>
      </w:pPr>
    </w:p>
    <w:p>
      <w:pPr>
        <w:jc w:val="both"/>
        <w:ind w:left="980" w:hanging="405"/>
        <w:spacing w:after="0" w:line="272"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of our product candidates that achieve regulatory approval may not commit sufficient resources to the marketing and distribution of such products;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collaborator’s sales and marketing activities or other operations may not be in compliance with applicable laws resulting in civil or criminal proceedings;</w:t>
      </w:r>
    </w:p>
    <w:p>
      <w:pPr>
        <w:spacing w:after="0" w:line="126" w:lineRule="exact"/>
        <w:rPr>
          <w:rFonts w:ascii="Times New Roman" w:cs="Times New Roman" w:eastAsia="Times New Roman" w:hAnsi="Times New Roman"/>
          <w:sz w:val="16"/>
          <w:szCs w:val="16"/>
          <w:color w:val="auto"/>
        </w:rPr>
      </w:pPr>
    </w:p>
    <w:p>
      <w:pPr>
        <w:jc w:val="both"/>
        <w:ind w:left="980" w:hanging="405"/>
        <w:spacing w:after="0" w:line="263"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3"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infringe the intellectual property rights of third parties, which may expose us to litigation and potential liability;</w:t>
      </w:r>
    </w:p>
    <w:p>
      <w:pPr>
        <w:spacing w:after="0" w:line="113" w:lineRule="exact"/>
        <w:rPr>
          <w:rFonts w:ascii="Times New Roman" w:cs="Times New Roman" w:eastAsia="Times New Roman" w:hAnsi="Times New Roman"/>
          <w:sz w:val="16"/>
          <w:szCs w:val="16"/>
          <w:color w:val="auto"/>
        </w:rPr>
      </w:pPr>
    </w:p>
    <w:p>
      <w:pPr>
        <w:jc w:val="both"/>
        <w:ind w:left="980" w:hanging="405"/>
        <w:spacing w:after="0" w:line="272"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collaborator of ours were to be involved in a business combination, the continued pursuit and emphasis on our product development or commercialization program could be delayed, diminished or terminated;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0" w:hanging="405"/>
        <w:spacing w:after="0" w:line="280" w:lineRule="auto"/>
        <w:tabs>
          <w:tab w:leader="none" w:pos="9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may be terminated, including for the convenience of the collaborator, and, if terminated, we may find it more difficult to enter into future collaborations or be required to raise additional capital to pursue further development or commercialization of the applicable product candidates.</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Any collaborations that we enter into may not be successful. The success of our collaboration arrangements will depend heavily on the efforts and activities of our collaborators. Collaboration agreements may not lead to development or commercialization of product candidates in the most efficient manner or at all. In addition, all of the risks relating to product development, regulatory approval and commercialization described in this Quarterly Report will apply to the activities of any of our collaborators.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patent protection for any product candidates we develop or for our PREDATOR platform and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protection in the United States and other countries with respect to our PREDATOR platform,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PREDATOR platform and our product candidates that are important to our business; we also license and may in the future license or purchase additional patents and patent applications filed by others. If we are unable to secure or maintain patent protection with respect to our PREDATOR platform, our product candidates and any proprietary products and technology we develop, our business, financial condition, results of operations and prospects could be materially harmed.</w:t>
      </w:r>
    </w:p>
    <w:p>
      <w:pPr>
        <w:spacing w:after="0" w:line="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the scope of the patent protection we or our potential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provide assurances that those licenses will remain in force.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Patent positions of life sciences companies can be uncertain and involve complex factual and legal questions. No consistent policy governing the scope of claims allowable in the field of engineered therapeutic proteins has emerged in the United States. The scope of patent protection in jurisdictions outside of the United States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external academic scientific collaborators, CROs, contract manufacturers, consultants, advisors and other third parties, any of these parties may breach the agreements and disclose our confidential or proprietary information before a patent application is filed, thereby endangering our ability to seek patent protection. In addition, publications of discoveries in the scientific and scholarly literature often lag behind 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patents or pending patent applications.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competing with us, or otherwise provide us with a competitive advantage. Any patents that eventually issue may be challenged, narrowed or invalidated by third parties. Consequently, we do not know whether our PREDATOR platform or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issuance or grant of a patent is not irrefutable as to its inventorship, scope, validity or enforceability, and our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or interference proceeding and other similar proceedings challenging our patent rights or the patent rights of others in the U.S. Patent and Trademark Office, or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 or extinguish our ability to manufacture or commercialize products without infringing third-party patent rights.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rely on the Harpoon Agreement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rely on our Second Amended and Restated Assignment and License Agreement, or the Harpoon Agreement, with Harpoon, pursuant to which we have non-exclusive and exclusive rights to technology that is incorporated into our PREDATOR platform, development programs and product candidates. The Harpoon Agreement gives us non-exclusive, sublicensable, worldwide rights to develop, manufacture, and commercialize products containing certain of Harpoon’s patented technology and exclusive, irrevocable rights to certain other Harpoon inventions that may be made during a limited collaboration period. The Harpoon Agreement imposes disclosure, royalty payment and other obligations on us.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Harpoon Agreement, Harpoon is responsible for prosecution and maintenance of the licensed patents and any future third party from whom we may license patent rights may similarly be responsible for prosecution and maintenance of such patents. We have limited control over the activities that are the responsibility of Harpoon, and would have limited control over the activities that are the responsibility of any future licensor, and it is possible that prosecution and maintenance of licensed patents by Harpoon or any future licensor may be less vigorous than had we conducted such activities ourselves. Furthermore, the Harpoon Agreement is subject to, and we expect our future license agreements may also be subject to, a reservation of rights by one or more third parties, including the licensor.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Disputes may arise regarding intellectual property subject to the Harpoon Agreement or any future license agreements of ours, including:</w:t>
      </w:r>
    </w:p>
    <w:p>
      <w:pPr>
        <w:spacing w:after="0" w:line="113" w:lineRule="exact"/>
        <w:rPr>
          <w:sz w:val="20"/>
          <w:szCs w:val="20"/>
          <w:color w:val="auto"/>
        </w:rPr>
      </w:pPr>
    </w:p>
    <w:p>
      <w:pPr>
        <w:ind w:left="960" w:hanging="385"/>
        <w:spacing w:after="0"/>
        <w:tabs>
          <w:tab w:leader="none" w:pos="9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licensor’s ability to defend intellectual property and to enforce intellectual property rights against third parties;</w:t>
      </w:r>
    </w:p>
    <w:p>
      <w:pPr>
        <w:spacing w:after="0" w:line="126" w:lineRule="exact"/>
        <w:rPr>
          <w:rFonts w:ascii="Times New Roman" w:cs="Times New Roman" w:eastAsia="Times New Roman" w:hAnsi="Times New Roman"/>
          <w:sz w:val="16"/>
          <w:szCs w:val="16"/>
          <w:color w:val="auto"/>
        </w:rPr>
      </w:pPr>
    </w:p>
    <w:p>
      <w:pPr>
        <w:ind w:left="980" w:right="20" w:hanging="405"/>
        <w:spacing w:after="0" w:line="280" w:lineRule="auto"/>
        <w:tabs>
          <w:tab w:leader="none" w:pos="9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technology, product candidates and processes infringe, misappropriate or otherwise violate any intellectual property of the licensor that is not subject to the licensing agreement;</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sublicensing of patent and other rights under the license agreement;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under the license agreement and what activities satisfy those diligence obligations;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our licensors and us and any partners of ours; and</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Quarterly Report with respect to protection of intellectual property that we license as we are for intellectual property that we own. If we or our licensors fail to adequately protect this intellectual property, our ability to commercialize products could suffer.</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Harpoon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our efforts to protect the proprietary nature of the intellectual property related to our technologies and product candidates are not adequate, we may not be able to compete effectively in our market.</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Biotechnology and pharmaceutical companies generally, and we in particular, compete in a crowded competitive space characterized by rapidly evolving technologies and aggressive defense of intellectual property.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seek or plan to seek patent protection for our PREDATOR platform and product candidates by filing and prosecuting patent applications in the United States and other countries as appropriate. However, we cannot predict:</w:t>
      </w:r>
    </w:p>
    <w:p>
      <w:pPr>
        <w:spacing w:after="0" w:line="43" w:lineRule="exact"/>
        <w:rPr>
          <w:sz w:val="20"/>
          <w:szCs w:val="20"/>
          <w:color w:val="auto"/>
        </w:rPr>
      </w:pPr>
    </w:p>
    <w:p>
      <w:pPr>
        <w:ind w:left="960" w:hanging="385"/>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when patents will issue;</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patents will issue with claims that cover our product candidates;</w:t>
      </w:r>
    </w:p>
    <w:p>
      <w:pPr>
        <w:spacing w:after="0" w:line="113"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degree and range of protection any issued patents will afford us against competitors including whether third parties will find ways to invalidate or otherwise circumvent our patents;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any of our intellectual property will provide any competitive advantage;</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any of our patents that may be issued may be challenged, invalidated, modified, revoked, circumvented, found to be unenforceable or otherwise may not provide any competitive advantage;</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others will obtain patents claiming aspects similar to those covered by our patents and patent applications; or</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we will need to initiate or defend litigation or administrative proceedings which may be costly regardless of whether we win or lose.</w:t>
      </w:r>
    </w:p>
    <w:p>
      <w:pPr>
        <w:spacing w:after="0" w:line="11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we cannot be certain that the claims in our pending patent applications covering our product candidates, PREDATOR platform and research programs will be considered patentable by the USPTO, or by patent offices in foreign countries, or that the claims in any of our issued patents will be considered valid by courts in the United States or foreign countries.</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technology or uses thereof in the United States or in other foreign countries. Even if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Various post-grant review proceedings, such as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Recent or future patent reform legislation could increase the uncertainties and costs surrounding the prosecution of our patent applications and the enforcement or defense of our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USPTO-administered post-grant review system that has affected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7" w:lineRule="exact"/>
        <w:rPr>
          <w:sz w:val="20"/>
          <w:szCs w:val="20"/>
          <w:color w:val="auto"/>
        </w:rPr>
      </w:pPr>
    </w:p>
    <w:p>
      <w:pPr>
        <w:ind w:left="980" w:hanging="405"/>
        <w:spacing w:after="0" w:line="298" w:lineRule="auto"/>
        <w:tabs>
          <w:tab w:leader="none" w:pos="96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or use polypeptides or nucleic acids that are similar to our product candidates or components of our product candidates but that are not covered by the claims of our patents;</w:t>
      </w:r>
    </w:p>
    <w:p>
      <w:pPr>
        <w:spacing w:after="0" w:line="42"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as the case may be, may fail to meet our obligations to the U.S. government in regards to any patents and patent applications funded by U.S. government grants, leading to the loss of patent rights;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as the case may be, might not have been the first to file patent applications for these inventions;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pending patent applications will not result in issued patents;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there are prior public disclosures that could invalidate our or our licensors’ patents, as the case may be, or parts of our or their patents;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others may circumvent our owned or in-licensed patents;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0" w:hanging="405"/>
        <w:spacing w:after="0" w:line="280" w:lineRule="auto"/>
        <w:tabs>
          <w:tab w:leader="none" w:pos="9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there are unpublished applications or patent applications maintained in secrecy that may later issue with claims covering our products or technology similar to ours;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of foreign countries may not protect our or our licensors’, as the case may be, proprietary rights to the same extent as the laws of the United States;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claims of our owned or in-licensed issued patents or patent applications, if and when issued, may not cover our product candidates or technology;</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5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42" w:lineRule="exact"/>
        <w:rPr>
          <w:rFonts w:ascii="Times New Roman" w:cs="Times New Roman" w:eastAsia="Times New Roman" w:hAnsi="Times New Roman"/>
          <w:sz w:val="16"/>
          <w:szCs w:val="16"/>
          <w:color w:val="auto"/>
        </w:rPr>
      </w:pPr>
    </w:p>
    <w:p>
      <w:pPr>
        <w:ind w:left="980" w:right="20" w:hanging="405"/>
        <w:spacing w:after="0" w:line="298" w:lineRule="auto"/>
        <w:tabs>
          <w:tab w:leader="none" w:pos="9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engaged in scientific collaborations in the past and will continue to do so in the future, and such collaborators may develop adjacent or competing products to ours that are outside the scope of our patents;</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for which we can obtain patent protection;</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product candidates or technology we develop may be covered by third parties’ patents or other exclusive rights; or</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proprietary position in part depends upon patents that are manufacturing, formulation or method-of-use patents, which may not prevent a competitor or other third party from using the same product candidate for another use.</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Composition of matter patents for biological and pharmaceutical products are generally considered to be the strongest form of intellectual property protection for those types of products, as such patents provide protection without regard to any method of making or method of use. Although we have two issued patents with certain composition of matter claims with respect to WTX-124 and IL-12 INDUKINE molecules, we also have pending patent applications with other composition of matter claims with respect to our product candidates.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United States or foreign countries. Furthermore, in some cases, we may not be able to obtain issued claims covering compositions of matter relating to our product candidates, and instead may need to rely on filing patent applications with claims covering a method of use and/or method of manufacture. Method of use patents protect a specified method of using a product, such as a method of use for treating a particular medical indication.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product candidates could have a material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and PREDATOR platform, including aspects of sample preparation, methods of manufacturing, cell culturing conditions, computational-biological algorithms and related processes are based on unpatented trade secrets that are not publicly disclosed. Although we take steps to protect our proprietary information and trade secrets, including through contractual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means with our employees and consultants, third parties may independently develop substantially equivalent proprietary information and techniques or otherwise gain access to our trade secrets or disclose our technology.</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 secrets and other proprietary and confidential information will not be disclosed to publicly or to competitors.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Third-party claims of intellectual property infringement may prevent or delay our product discovery and development efforts.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 third party claims that we infringe its intellectual property rights, we may face a number of issues, including, but not limited to:</w:t>
      </w:r>
    </w:p>
    <w:p>
      <w:pPr>
        <w:spacing w:after="0" w:line="113" w:lineRule="exact"/>
        <w:rPr>
          <w:sz w:val="20"/>
          <w:szCs w:val="20"/>
          <w:color w:val="auto"/>
        </w:rPr>
      </w:pPr>
    </w:p>
    <w:p>
      <w:pPr>
        <w:ind w:left="980" w:hanging="405"/>
        <w:spacing w:after="0" w:line="280" w:lineRule="auto"/>
        <w:tabs>
          <w:tab w:leader="none" w:pos="9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infringement and other intellectual property claims which, regardless of merit, may be expensive and time-consuming to litigate and may divert our management’s attention from our core business;</w:t>
      </w:r>
    </w:p>
    <w:p>
      <w:pPr>
        <w:spacing w:after="0" w:line="70" w:lineRule="exact"/>
        <w:rPr>
          <w:rFonts w:ascii="Times New Roman" w:cs="Times New Roman" w:eastAsia="Times New Roman" w:hAnsi="Times New Roman"/>
          <w:sz w:val="16"/>
          <w:szCs w:val="16"/>
          <w:color w:val="auto"/>
        </w:rPr>
      </w:pPr>
    </w:p>
    <w:p>
      <w:pPr>
        <w:jc w:val="both"/>
        <w:ind w:left="980" w:hanging="405"/>
        <w:spacing w:after="0" w:line="283" w:lineRule="auto"/>
        <w:tabs>
          <w:tab w:leader="none" w:pos="9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54"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70" w:lineRule="exact"/>
        <w:rPr>
          <w:rFonts w:ascii="Times New Roman" w:cs="Times New Roman" w:eastAsia="Times New Roman" w:hAnsi="Times New Roman"/>
          <w:sz w:val="16"/>
          <w:szCs w:val="16"/>
          <w:color w:val="auto"/>
        </w:rPr>
      </w:pPr>
    </w:p>
    <w:p>
      <w:pPr>
        <w:ind w:left="980" w:right="20" w:hanging="405"/>
        <w:spacing w:after="0" w:line="280" w:lineRule="auto"/>
        <w:tabs>
          <w:tab w:leader="none" w:pos="9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license is available from a third party, we may have to pay substantial royalties, upfront fees and other amounts, and/or grant cross-licenses to intellectual property rights for our products; and</w:t>
      </w:r>
    </w:p>
    <w:p>
      <w:pPr>
        <w:spacing w:after="0" w:line="70"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redesigning our product candidates or processes so they do not infringe third party intellectual property rights, which may not be possible or may require substantial monetary expenditures and time.</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Third parties may assert that we are employing their proprietary technology without authorization. Generally, conducting preclinical and clinical trials and other development activities in the United States is not considered an act of infringement. If WTX-124, WTX-330, WTX-613 or another product candidate is approved by the FDA, a third party may then seek to enforce its patent by filing a patent infringement lawsuit against us. For example, we have received, and we may in the future receive, correspondence from third parties or their legal counsel disclosing that such third party owns patents that may encompass one or more of our product candidates. It is also possible that a third party may file a lawsuit against us alleging infringement of its patents. The outcome of any such proceeding is uncertain and would likely result in the expenditure of significant financial resources and the diversion of management’s time and resources, which could harm our business.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product components and processes for our development pipeline through acquisitions and in-licenses.</w:t>
      </w:r>
    </w:p>
    <w:p>
      <w:pPr>
        <w:spacing w:after="0" w:line="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Presently we have certain intellectual property rights, under patents and patent applications that we own or will own and under the Harpoon Agreement, related to WTX-124, WTX-330, WTX-613 and other product candidates we may develop in the future. Our development of additional product candidates may require the use of proprietary rights held by third parties, the growth of our business will likely depend in part on our ability to acquire, in-license or use these proprietary rights. In addition, while we have patent rights directed to certain INDUKINE constructs we may not be able to obtain intellectual property to broad INDUKINE polypeptides or engineered INDUKINE constructs.</w:t>
      </w:r>
    </w:p>
    <w:p>
      <w:pPr>
        <w:spacing w:after="0" w:line="2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specific components, such as linkers and antibody fragments, that will be used with our product candidates may be covered by the intellectual property rights of others.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the patents of our licensors, which could be expensive, time-consuming and unsuccessful.</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Post-grant proceedings provoked by third parties or brought by the USPTO may be necessary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Some of our patent applications have been granted or may be granted or allowed in the future. We cannot be certain that an allowed 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re-allow the application in view of the new material. Further, 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 candidates or technology could be found invalid or unenforceable if challenged in court or the USPTO.</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and equivalent proceedings in foreign jurisdictions (such as opposition proceedings). Such proceedings could result in 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Changes to patent law in the United States and in foreign jurisdictions could diminish the value of patents in general, thereby impairing our ability to protect our products.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United States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6"/>
          <w:szCs w:val="16"/>
          <w:i w:val="1"/>
          <w:iCs w:val="1"/>
          <w:color w:val="auto"/>
        </w:rPr>
        <w:t>Assoc. for Molecular Pathology v. Myriad Genetics,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 </w:t>
      </w:r>
      <w:r>
        <w:rPr>
          <w:rFonts w:ascii="Times New Roman" w:cs="Times New Roman" w:eastAsia="Times New Roman" w:hAnsi="Times New Roman"/>
          <w:sz w:val="16"/>
          <w:szCs w:val="16"/>
          <w:color w:val="auto"/>
        </w:rPr>
        <w:t>the U.S. Supreme Court held that certain claims to DNA molecules are not patentable. While we do not believe that any of the patents owned or licensed by us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 invalid based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decision,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foreign intellectual property rights and may not be able to protect our intellectual property rights throughout the world.</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obtained granted patents in the United States that we consider to be important for certain of our product candidates, however, we may have less robust intellectual property rights outside the United States, and, in particular, we may not be able to pursue generic coverage of our PREDATOR platform or of our INDUKINE molecules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Most of our patent portfolio is at the very early stage. We will need to decide whether and in which jurisdictions to pursue protection for the various inventions in our portfolio prior to applicable deadlines.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w:t>
      </w:r>
    </w:p>
    <w:p>
      <w:pPr>
        <w:spacing w:after="0" w:line="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damages resulting from claims that we or our employees have wrongfully used or disclosed confidential information of our competitors or are in breach of non-competition or non-solicitation agreements with our competitors.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Many of our employees were previously employed at other pharmaceutical companies, including our competitors or potential competitors, in some cases until recently. We may be subject to claims that we or our employees have inadvertently or otherwise used or disclosed trade secrets or other confidential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and data exclusivity for any of our current or future product candidates, our business may be materially harmed.</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trademarks or trade names may be challenged, infringed, circumvented,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Numerous factors may limit any potential competitive advantage provided by our intellectual property rights.</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71" w:lineRule="exact"/>
        <w:rPr>
          <w:sz w:val="20"/>
          <w:szCs w:val="20"/>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patent applications that we own or license may not lead to issued patents;</w:t>
      </w:r>
    </w:p>
    <w:p>
      <w:pPr>
        <w:spacing w:after="0" w:line="126"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should they issue, that we own or license, may not provide us with any competitive advantages, or may be challenged and held invalid or unenforceable;</w:t>
      </w:r>
    </w:p>
    <w:p>
      <w:pPr>
        <w:spacing w:after="0" w:line="70"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5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compete with us in jurisdictions where we do not pursue and obtain patent protection;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might not have been the first to make the inventions covered by a pending patent application that we own or license;</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might not have been the first to file patent applications covering a particular invention;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without infringing our intellectual property rights;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obtain and/or maintain necessary licenses on reasonable terms or at all;</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assert an ownership interest in our intellectual property and, if successful, such disputes may preclude us from exercising exclusive rights, or any rights at all, over that intellectual property;</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maintain the confidentiality of our trade secrets or other proprietary information;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or in-license additional proprietary technologies that are patentable; and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any of these events occur, they could significantly harm our business and results of operation.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Regulatory Approval and Marketing of Our Product Candidates and Other Legal Compliance Matters</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receive approval of an NDA or BLA from the FDA or marketing approval from applicable regulatory authorities outside the United States. Our product candidates are in various stages of development and are subject to the risks of failure inherent in development. We have not submitted an application for or received marketing approval for any of our product candidates in the United States or in any other jurisdiction. We have no experience as a company in filing and supporting the applications necessary to gain marketing approvals and expect to rely on third-party CROs to assist us in this process.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Failure to obtain marketing approval in foreign jurisdictions would prevent our product candidates from being marketed abroad. Any approval we may be granted for our product candidates in the United States would not assure approval of our product candidates in foreign jurisdictions and any of our product candidates that may be approved for marketing in a foreign jurisdiction will be subject to risks associated with foreign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order to market and sell our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Additionally, we could face heightened risks with respect to seeking marketing approval in the United Kingdom as a result of the withdrawal of the United Kingdom from the EU, commonly referred to as Brexit. As of January 1, 2021, the Medicines and Healthcare products Regulatory Agency, or the MHRA, became responsible for supervising medicines and medical devices in Great Britain, comprising England, Scotland and Wales under domestic law, whereas Northern Ireland will continue to be subject to EU rules under the Northern Ireland Protocol. The MHRA will rely on the Human Medicines Regulations 2012 (SI 2012/1916) (as amended), or the HMR, as the basis for regulating medicines. The HMR has incorporated into the domestic law of the body of EU law instruments governing medicinal products that pre-existed prior to the United Kingdom’s withdrawal from the EU.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obtain orphan drug designation or orphan drug exclusivity for our product candidates and, even if we do, that exclusivity may not prevent the FDA or the EMA from approving competing products.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Generally, a product with orphan drug designation only becomes entitled to orphan drug exclusivity if it receives the first marketing approval for the indication for which it has such designation, in which case the FDA or the European Medicines Agency, or EMA, will be precluded from approving another marketing application for the same product for that indication for the applicable exclusivity period. The applicable exclusivity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7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may seek orphan drug designations for our product candidates and may be unable to obtain such designations. Even if we do secure such designations and orphan drug exclusivity for a product, that exclusivity may not effectively protect the product from competition because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w:t>
      </w:r>
    </w:p>
    <w:p>
      <w:pPr>
        <w:spacing w:after="0" w:line="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must also comply with requirements concerning advertising and promotion for any of our product candidates for which we obtain marketing approval. Promotional communications with respect to prescription products are subject to a variety of legal and regulatory restrictions and must be consistent with the information in the product’s approved labeling. Thus, we will not be able to promote any products we develop for indications or uses for which they are not approved. 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In September 2021, the FDA published final regulations which describe the types of evidence that the FDA will consider in determining the intended use of a drug or biologic. Violations of the Federal Food, Drug, and Cosmetic Act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Failure to comply with regulatory requirements, may yield various results, including:</w:t>
      </w:r>
    </w:p>
    <w:p>
      <w:pPr>
        <w:spacing w:after="0" w:line="127" w:lineRule="exact"/>
        <w:rPr>
          <w:sz w:val="20"/>
          <w:szCs w:val="20"/>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such products, manufacturers or manufacturing processes;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labeling or marketing of a product;</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distribution or use of a product;</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post-marketing studies or clinical trials;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warning letters or untitled letters;</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the products from the market;</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recall of products;</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relationships with collaborators;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press coverage and damage to our reputation;</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or withdrawal of marketing approvals;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products;</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 and</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involving patients using our products.</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Similar restrictions apply to the approval of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of authorized drugs, which are strictly regulated in the EU and are also subject to EU Member State laws. The failure to comply with these and other EU requirements can also lead to significant penalties and sanctions.</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seek certain designations for our product candidates, including Breakthrough Therapy, Fast Track and Priority Review designations, but we might not receive such designations, and even if we do, such designations may not lead to a faster development or regulatory review or approval process.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FDA may also designate a product for Fast Track review if it is intended, whether alone or in combination with one or more other products, for the treatment of a serious or life 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2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may also seek a priority review designation for one or more of our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seek PRIME Designation in the EU for one or more of our product candidates but we might not receive such designations and, even if we do, such designations may not lead to a faster development or regulatory review or approval process.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EU,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2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designation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6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or our contract manufacturer must supply all necessary documentation in support of a BLA on a timely basis and must adhere to the FDA’s current Good Laboratory Practice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 In addition, the regulatory authorities may, at any time, audit or inspect a manufacturing facility involved with the preparation of our product candidates or the associated quality systems for compliance with the regulations applicable to the activities being conducted. If these facilities do not pass a pre-approval plant inspection, FDA approval of the products will not be granted.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regulatory authorities also may, at any time following approval of a product for sale, audit our manufacturing facilities or those of our third-party contractors. If any such inspection or audit identifies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7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conducting, and intend in the future to conduct, clinical trials for certain of our product candidates at sites outside the United States. The FDA may not accept data from trials conducted in such locations and the conduct of trials outside the United States could subject us to additional delays and expense.</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conducting, and intend in the future to conduct, one or more of our clinical trials with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 The FDA must be able to validate the data from the trial through an onsite inspection if necessary.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the FDA acceptance of the data will be dependent upon its determination that the trials also complied with all applicable U.S. laws and regulations. There can be no assurance that the FDA will accept data from clinical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our product candidates.</w:t>
      </w:r>
    </w:p>
    <w:p>
      <w:pPr>
        <w:spacing w:after="0" w:line="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addition, the conduct of clinical trials outside the United States could have a significant adverse impact on us or the trial results. Risks inherent in conducting international clinical trials include:</w:t>
      </w:r>
    </w:p>
    <w:p>
      <w:pPr>
        <w:spacing w:after="0" w:line="43" w:lineRule="exact"/>
        <w:rPr>
          <w:sz w:val="20"/>
          <w:szCs w:val="20"/>
          <w:color w:val="auto"/>
        </w:rPr>
      </w:pPr>
    </w:p>
    <w:p>
      <w:pPr>
        <w:ind w:left="960" w:hanging="385"/>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practice patterns and standards of care that vary widely among countries;</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non-U.S. regulatory authority requirements that could restrict or limit our ability to conduct our clinical trials;</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burdens of conducting clinical trials under multiple non-U.S. regulatory authority schema;</w:t>
      </w:r>
    </w:p>
    <w:p>
      <w:pPr>
        <w:spacing w:after="0" w:line="59"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rate fluctuations; and</w:t>
      </w:r>
    </w:p>
    <w:p>
      <w:pPr>
        <w:spacing w:after="0" w:line="7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diminished protection of intellectual property in some countries.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Inadequate funding for the FDA, the SEC and other government agencies, including from government shut downs, or other disruptions to these agencies’ operations, including from the COVID-19 pandemic,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Accordingly, if a prolonged government shutdown or other disruption occurs, it could significantly impact the ability of the FDA to timely review and process our regulatory submissions, which could have a material adverse effect on our business. Future shutdowns or other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disruptions could also affect other government agencies such as the SEC, which may also impact our business by delaying review of our public filings, to the extent such review is necessary, and our ability to access the public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and future legislation may increase the difficulty and cost for us to obtain reimbursement for any of our candidate products that do receive marketing approval.</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ACA substantially changed the way healthcare is financed by both governmental and private insurers and continues to significantly impact the U.S. pharmaceutical industry. Since enactment of the ACA, there have been numerous legal challenges and Congressional actions to repeal and replace provisions of the law. For example, with enactment of the TCJA in 2017, Congress repealed the “individual mandate.” The repeal of this provision, which requires most Americans to carry a minimal level of health insurance, became effective in 2019. Further, in December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In June 2021, the U.S. Supreme Court dismissed this action after finding that the plaintiffs do not have standing to challenge the constitutionality of the ACA. Litigation and legislation over the ACA are likely to continue, with unpredictable and uncertain results.</w:t>
      </w:r>
    </w:p>
    <w:p>
      <w:pPr>
        <w:spacing w:after="0" w:line="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or HHS, to create a special enrollment period for the Health Insurance Marketplace in response to the COVID-19 pandemic.</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Current and future legislative efforts may limit the costs for our products, if and when they are licensed for marketing, and that could materially impact our ability to generate revenues.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July 9, 2021, President Biden signed Executive Order 14063, which focuses on, among other things, the price of pharmaceuticals. The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Finally, outside the United States, in some nations,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2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Healthcare providers, third-party payors and others will play a primary role in the recommendation and prescription of any products for which we obtain marketing approval. Our current and future arrangements with healthcare providers and third-party payors will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Potentially applicable U.S. federal and state healthcare laws and regulations include the following:</w:t>
      </w:r>
    </w:p>
    <w:p>
      <w:pPr>
        <w:spacing w:after="0" w:line="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Anti-Kickback Statute</w:t>
      </w:r>
      <w:r>
        <w:rPr>
          <w:rFonts w:ascii="Times New Roman" w:cs="Times New Roman" w:eastAsia="Times New Roman" w:hAnsi="Times New Roman"/>
          <w:sz w:val="16"/>
          <w:szCs w:val="16"/>
          <w:color w:val="auto"/>
        </w:rPr>
        <w:t>. The federal Anti-Kickback Statute prohibits, among other things, persons and entities from knowingly and willfully soliciting, offering, receiving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False Claims Laws</w:t>
      </w:r>
      <w:r>
        <w:rPr>
          <w:rFonts w:ascii="Times New Roman" w:cs="Times New Roman" w:eastAsia="Times New Roman" w:hAnsi="Times New Roman"/>
          <w:sz w:val="16"/>
          <w:szCs w:val="16"/>
          <w:color w:val="auto"/>
        </w:rPr>
        <w:t>. The federal false claims laws, including the civil False Claims Act, impose criminal and civil penalties, including those from civil whistleblower or qui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HIPAA</w:t>
      </w:r>
      <w:r>
        <w:rPr>
          <w:rFonts w:ascii="Times New Roman" w:cs="Times New Roman" w:eastAsia="Times New Roman" w:hAnsi="Times New Roman"/>
          <w:sz w:val="16"/>
          <w:szCs w:val="16"/>
          <w:color w:val="auto"/>
        </w:rPr>
        <w:t>. The federal Health Insurance Portability and Accountability Act of 1996, or HIPAA, imposes criminal and civil liability for, among other things, executing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attempting to execute a scheme to defraud any healthcare benefit program.</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HIPAA and HITECH</w:t>
      </w:r>
      <w:r>
        <w:rPr>
          <w:rFonts w:ascii="Times New Roman" w:cs="Times New Roman" w:eastAsia="Times New Roman" w:hAnsi="Times New Roman"/>
          <w:sz w:val="16"/>
          <w:szCs w:val="16"/>
          <w:color w:val="auto"/>
        </w:rPr>
        <w:t>. HIPAA, as amended by the Health Information Technology for Economic and Clinical Health Act, or the HITECH Act, also imposes obligations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types of individuals and entities, including mandatory contractual terms, with respect to safeguarding the privacy, security and transmission of individually identifiable health information.</w:t>
      </w:r>
    </w:p>
    <w:p>
      <w:pPr>
        <w:spacing w:after="0" w:line="7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False Statements Statute</w:t>
      </w:r>
      <w:r>
        <w:rPr>
          <w:rFonts w:ascii="Times New Roman" w:cs="Times New Roman" w:eastAsia="Times New Roman" w:hAnsi="Times New Roman"/>
          <w:sz w:val="16"/>
          <w:szCs w:val="16"/>
          <w:color w:val="auto"/>
        </w:rPr>
        <w:t>. The federal false statements statute prohibits knowingly and willfully falsifying, concealing or covering up a material fact or making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materially false statement in connection with the delivery of or payment for healthcare benefits, items or services.</w:t>
      </w:r>
    </w:p>
    <w:p>
      <w:pPr>
        <w:spacing w:after="0" w:line="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Transparency Requirements</w:t>
      </w:r>
      <w:r>
        <w:rPr>
          <w:rFonts w:ascii="Times New Roman" w:cs="Times New Roman" w:eastAsia="Times New Roman" w:hAnsi="Times New Roman"/>
          <w:sz w:val="16"/>
          <w:szCs w:val="16"/>
          <w:color w:val="auto"/>
        </w:rPr>
        <w:t>. The federal Physician Payments Sunshine Act requires certain manufacturers of drugs, devices, biologics, and medical supplies for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is available under Medicare, Medicaid, or the Children’s Health Insurance Program, with specific exceptions, to report annually to HHS information related to payments and other transfers of value made to physicians (defined to include doctors, dentists, optometrists, podiatrists, and chiropractors) and ownership and investment interests by physicians and their immediate family members. As of January 1,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Analogous State and Foreign Laws</w:t>
      </w:r>
      <w:r>
        <w:rPr>
          <w:rFonts w:ascii="Times New Roman" w:cs="Times New Roman" w:eastAsia="Times New Roman" w:hAnsi="Times New Roman"/>
          <w:sz w:val="16"/>
          <w:szCs w:val="16"/>
          <w:color w:val="auto"/>
        </w:rPr>
        <w:t>. Analogous state laws and regulations, such as state anti-kickback and false claims laws, and transparency laws, may apply to sales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marketing arrangements, and claims involving healthcare items or services reimbursed by non-governmental third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or marketing expenditures. Many state laws also govern the privacy and security of health information in some circumstances, many of which differ from each other in significant ways and often are not preempted by HIPAA, thus complicating compliance efforts. Foreign laws also govern the privacy and security of health information in many circumstances.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provision of benefits or advantages to physicians to induce or encourage the prescription, recommendation, endorsement, purchase, supply, order or use of medicinal products is prohibited in the European Union.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Compliance with state, national and international privacy and data security requirements could result in additional costs and liabilities to us or inhibit our ability to collect and process data globally,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or are likely to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strict rules on the transfer of personal data to countries outside the European Union, including the United States.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Brexit has complicated data protection regulation in the United Kingdom because, as of January 1, 2021, the GDPR has been converted into United Kingdom law and the United Kingdom is now a “third country” under the GDPR, subject to a transition period. Unless the European Commission makes an ‘adequacy finding’ in respect of the United Kingdom before the expiration of the transition period, the United Kingdom will become an ‘inadequate third country’ under the GDPR and transfers of data from the EEA to the United Kingdom will require a ‘transfer mechanism,’ such as the standard contractual clauses. Furthermore, following the expiration of the specified period, there will be increasing scope for divergence in application, interpretation and enforcement of the data protection law as between the United Kingdom and EEA.</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a result, there is increased scrutiny on the extent to which clinical trial sites located in the EEA should apply the GDPR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Actions are either in place or under way in the United States to enact similar legislation.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CCPA, which went into effect on January 1, 2020, is creating similar risks and obligations as those created by GDPR, though the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There is no assurance that privacy and security-related safeguards we implement will protect us from all risks associated with the third-party processing, storage and transmission of such information.</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New legislation proposed or enacted in Colorado, Illinois, Massachusetts, Nevada, New Jersey, New York, Rhode Island, Virginia,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Given the breadth and depth of changes in data protection obligations, preparing for and complying with such requirements is rigorous and time intensive and requires significant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control, import, sanctions, anti-corruption, and anti-money laundering laws with respect to our operations and non-compliance with such laws can subject us to criminal and/or civil liability and harm our business.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harm our business.</w:t>
      </w:r>
    </w:p>
    <w:p>
      <w:pPr>
        <w:spacing w:after="0" w:line="3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59"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CROs, consultants, commercial partners, vendors and principal investigators may engage in misconduct or other improper activities, including non-compliance with regulatory standards and requirements.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independent contractors, CROs, consultants, commercial partners, vendors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 Employee Matters and Managing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employees, consultants and advisors and to attract, retain and motivate qualified personnel.</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highly dependent on the management, research and development, clinical, financial and business development expertise of our executive officers, as well as the other members of our scientific and clinical teams. Although we have employment offer letters which outline the terms of employment with each of our executive officers, each of them may terminate their employment with us at any time. As such, these employment offer letters do not guarantee our retention of our executive officers for any period of time. We do not maintain “key person” insurance for any of our employees.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Recruiting and retaining qualified scientific and clinical personnel and, if we are successful in obtaining marketing approval for our product candidates,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our product candidates. We are based in the Cambridge area of Boston, a region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could harm our business, prospects,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expect to grow our organization, and as a result, we may encounter difficulties in managing our growth, which could disrupt our operations.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of March 31, 2022, we had 42 employees. We expect to experience significant growth in the number of our employees and the scope of our operations, particularly in the areas of clinical development, regulatory affairs, finance and, if any of our product candidates receive marketing approval, sales, marketing and distribution. Our management may need to divert a disproportionate amount of its attention away from our day-to-day activities to devote time to managing these growth activities. To manage these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Our inability to effectively manage the expansion of our operations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additional product candidates. If our management is unable to effectively manage our expected growth, our expenses may increase more than expected, our potential ability to generate revenue could be reduced and we may not be able to implement our business strategy.</w:t>
      </w:r>
    </w:p>
    <w:p>
      <w:pPr>
        <w:spacing w:after="0" w:line="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depend on our information technology systems, and any failure of these systems could harm our business. Security breaches, loss of data, inability to access systems,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Our internal information technology systems and infrastructure, and those of our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intentional or accidental actions or inactions by persons inside our organization or by persons with access to systems inside our organization.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risk of a security breach or disruption or data loss, particularly through cyber-attacks or cyber intrusion, including by computer hackers, supply chain attacks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If such an event were to occur and cause interruptions in our operations, it could result in a material disruption of our product development programs.</w:t>
      </w: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Any security compromise affecting us, our partners or our industry, whether real or perceived, could harm our reputation, erode confidence in the effectiveness of our security measures and lead to regulatory scrutiny. If such an event were to occur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would also be exposed to a risk of loss, governmental investigations or enforcement, or litigation and potential liability, any of which could materially adversely affect our business,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depend on our employees, consultants, contract manufacturers, and CROs, and other parties, for the continued operation of our business. Our or their operations could be significantly disrupted by earthquakes, power shortages, telecommunications failures, water shortages, floods, hurricanes, typhoons, fires, ice and snowstorms, extreme weather conditions, medical epidemics or pandemics, terrorist attacks, and other natural or manmade disasters or business interruptions, for which we are, and they may be, predominantly self-insured. Because we rely on third-party contract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marketing our product candidates internationally, if approved, could materially adversely affect our business.</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plan to seek regulatory approval of our product candidates outside of the United States and, accordingly, we expect that we will be subject to additional risks related to operating in foreign countries if we obtain the necessary approvals, including:</w:t>
      </w:r>
    </w:p>
    <w:p>
      <w:pPr>
        <w:spacing w:after="0" w:line="70" w:lineRule="exact"/>
        <w:rPr>
          <w:sz w:val="20"/>
          <w:szCs w:val="20"/>
          <w:color w:val="auto"/>
        </w:rPr>
      </w:pPr>
    </w:p>
    <w:p>
      <w:pPr>
        <w:ind w:left="960" w:hanging="385"/>
        <w:spacing w:after="0"/>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requirements in foreign countries that differ from those in the United States;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price and exchange controls and other regulatory requirements;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taxes, including withholding of payroll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0" w:hanging="405"/>
        <w:spacing w:after="0" w:line="280" w:lineRule="auto"/>
        <w:tabs>
          <w:tab w:leader="none" w:pos="96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70"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 payor reimbursement regimes, government payors or patient self-pay systems;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foreign operations;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FCPA or comparable foreign regulations;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these factors could harm our future international expansion and operations and, consequently, our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engage in strategic transactions that could impact our liquidity, increase our expenses and present significant distractions to our management.</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 and Our Status as a Public Company</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common stock may not continue to develop or be sustained and our stockholders may not be able to resell their shares of our common stock.</w:t>
      </w:r>
    </w:p>
    <w:p>
      <w:pPr>
        <w:spacing w:after="0" w:line="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common stock began trading on the Nasdaq Global Select Market on April 30, 2021. Prior to April 30, 2021, there was no public market for our common stock. We cannot predict the extent to which an active market for our common stock will continue to develop or be sustained, or how the development of such a market might affect the market price for our common stock. As a result, it may be difficult for our stockholders to sell their shares of our common stock at an attractive price or at all.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common stock could be subject to volatility related or unrelated to our operations.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stock price is likely be volatile. For example, from April 30, 2021, when our stock first began trading on Nasdaq until May 6, 2022, our stock price has ranged from $3.51 to $21.67. The stock market in general and the market for biotechnology and pharmaceutical companies in particular have experienced extreme volatility that has often been unrelated to the operating performance of particular companies. As a result of this volatility, investors may not be able to sell their common stock at an attractive price or at all. The market price for our common stock may be influenced by many factors, including:</w:t>
      </w:r>
    </w:p>
    <w:p>
      <w:pPr>
        <w:spacing w:after="0" w:line="66" w:lineRule="exact"/>
        <w:rPr>
          <w:sz w:val="20"/>
          <w:szCs w:val="20"/>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results from preclinical studies;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enrollment or results of any future clinical trials we may conduct, or changes in the development status of our product candidates;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results from, delays in initiating or completing, or termination of clinical trials;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serious safety concerns related to the use of our product candidates;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results from, or regulatory approval of, a competitor’s product candidate;</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regulatory decisions, including failure to receive regulatory approval of our product candidates;</w:t>
      </w:r>
    </w:p>
    <w:p>
      <w:pPr>
        <w:spacing w:after="0" w:line="113" w:lineRule="exact"/>
        <w:rPr>
          <w:rFonts w:ascii="Times New Roman" w:cs="Times New Roman" w:eastAsia="Times New Roman" w:hAnsi="Times New Roman"/>
          <w:sz w:val="16"/>
          <w:szCs w:val="16"/>
          <w:color w:val="auto"/>
        </w:rPr>
      </w:pPr>
    </w:p>
    <w:p>
      <w:pPr>
        <w:jc w:val="both"/>
        <w:ind w:left="980" w:hanging="405"/>
        <w:spacing w:after="0" w:line="283" w:lineRule="auto"/>
        <w:tabs>
          <w:tab w:leader="none" w:pos="96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254"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than expected market acceptance of our product candidates following approval for commercialization;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developments concerning our manufacturers;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obtain adequate product supply for any approved product or inability to do so at acceptable prices;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of new products or services by our competitors;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us or by any securities analysts who might cover our stock;</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or trends in our industry;</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cash position;</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or our stockholders in the future;</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new accounting standards;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ineffectiveness of our internal controls;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valuations of similar companies;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market price and volume fluctuations of comparable companies and, in particular, those that operate in the biotechnology and pharmaceutical industry;</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about us or our industry or positive or negative recommendations or withdrawal of research coverage by securities analysts;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or divestitures;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investigations or regulatory scrutiny of our operations or lawsuits filed against us;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general perception of our company and our business;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recruitment or departure of key personnel;</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performance of the equity markets;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volume of our common stock;</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relating to proprietary rights, including patents, litigation matters and our ability to obtain patent protection for our technologies and product candidates;</w:t>
      </w:r>
    </w:p>
    <w:p>
      <w:pPr>
        <w:spacing w:after="0" w:line="42"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lawsuits, including patent or stockholder litigation;</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changes to healthcare laws or pharmaceutical pricing in the United States or foreign jurisdictions, or speculation regarding such changes;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with respect to the COVID-19 pandemic;</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political and economic conditions; and</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many of which are beyond our control.</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in the past, stockholders have initiated class action lawsuits against pharmaceutical and biotechnology companies following periods of volatility in the market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from our business.</w:t>
      </w:r>
    </w:p>
    <w:p>
      <w:pPr>
        <w:spacing w:after="0" w:line="5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our company, or if they issue unfavorable or inaccurate research regarding our business, our share price and trading volume could decline.</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trading market for our common stock relies, in part, on the research and reports that securities or industry analysts publish about us or our business. We do not have research control over these analysts. There can be no assurance that existing analysts will continue to cover us or that new analysts will begin to cover us. There is also no assurance that any covering analysts with provide favorable coverage. Although we have obtained coverage, if one or more of the analysts covering us downgrades our stock or publishes unfavorable or inaccurate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common stock and will be able to exert significant control over matters subject to stockholder approval.</w:t>
      </w:r>
    </w:p>
    <w:p>
      <w:pPr>
        <w:spacing w:after="0" w:line="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May 6, 2022, our executive officers, directors, holders of 5% or more of our common stock and their respective affiliates beneficially owned in the aggregate approximately 51.7% of our outstanding common stock.</w:t>
      </w:r>
    </w:p>
    <w:p>
      <w:pPr>
        <w:spacing w:after="0" w:line="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a result of their share ownership, these stockholders, if they act together, have the ability to influence our management and policies and are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our stockholders may feel are in their best interest.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this concentration of ownership might adversely affect the market price of our common stock by:</w:t>
      </w:r>
    </w:p>
    <w:p>
      <w:pPr>
        <w:spacing w:after="0" w:line="113" w:lineRule="exact"/>
        <w:rPr>
          <w:sz w:val="20"/>
          <w:szCs w:val="20"/>
          <w:color w:val="auto"/>
        </w:rPr>
      </w:pPr>
    </w:p>
    <w:p>
      <w:pPr>
        <w:ind w:left="960" w:hanging="385"/>
        <w:spacing w:after="0"/>
        <w:tabs>
          <w:tab w:leader="none" w:pos="9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delaying, deferring or preventing a change of control of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hanging="385"/>
        <w:spacing w:after="0"/>
        <w:tabs>
          <w:tab w:leader="none" w:pos="9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impeding a merger, consolidation, takeover or other business combination involving us; or</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discouraging a potential acquirer from making a tender offer or otherwise attempting to obtain control of us.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broad discretion regarding use of our cash and cash equivalents, and we may use them in ways that do not enhance our operating results or the market price of our common stock.</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management has broad discretion in the application of our cash and cash equivalents. We could utilize our cash and cash equivalents in ways our stockholders may not agree with or that do not yield a favorable return, if any, and our management might not apply our cash and cash equivalents in ways that ultimately increase the value of our stockholders’ investments. If we do not utilize our cash and cash equivalents in ways that enhance stockholder value, we may fail to achieve expected financial results, which could cause our stock price to decline.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on our common stock so any returns will be limited to the value of our stock.</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in the foreseeable future to the appreciation of their stock.</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previously incur as a private company.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w:t>
      </w: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Pursuant to Section 404 of the Sarbanes-Oxley Act, or Section 404, we will be required to furnish a report by our management on our internal control over financial reporting beginning with our filing of an Annual Report on Form 10-K with the SEC for the year ending December 31, 2022. However, while we remain an emerging growth company or a smaller reporting company with less than $100.0 million in annual revenue,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the past, we identified material weaknesses in our internal control over financial reporting, all of which have since been remediated. We did not identify any material weakness as of December 31, 2021.</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Securities and Exchange Commission, or SEC, under the Securities Exchange Act of 1934, as amended, or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harm our business and have a negative effect on the trading price of our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Jumpstart Our Business Startups Act, or the JOBS Act, enacted in April 2012 or a smaller reporting company with less than $100.0 million in annual revenue,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3" w:lineRule="exact"/>
        <w:rPr>
          <w:sz w:val="20"/>
          <w:szCs w:val="20"/>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 classified board of directors such that only one of three classes of directors is elected each year;</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the authorized number of our directors to be changed only by resolution of our board of directors;</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manner in which stockholders can remove directors from our board of directors;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stockholder proposals that can be acted on at stockholder meetings and nominations to our board of directors;</w:t>
      </w:r>
    </w:p>
    <w:p>
      <w:pPr>
        <w:spacing w:after="0" w:line="113"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 actions must be effected at a duly called stockholder meeting and prohibit actions by our stockholders by written consent;</w:t>
      </w:r>
    </w:p>
    <w:p>
      <w:pPr>
        <w:spacing w:after="0" w:line="126" w:lineRule="exact"/>
        <w:rPr>
          <w:rFonts w:ascii="Times New Roman" w:cs="Times New Roman" w:eastAsia="Times New Roman" w:hAnsi="Times New Roman"/>
          <w:sz w:val="16"/>
          <w:szCs w:val="16"/>
          <w:color w:val="auto"/>
        </w:rPr>
      </w:pPr>
    </w:p>
    <w:p>
      <w:pPr>
        <w:ind w:left="960" w:hanging="385"/>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who may call stockholder meetings;</w:t>
      </w:r>
    </w:p>
    <w:p>
      <w:pPr>
        <w:spacing w:after="0" w:line="113"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approval of the holders of at least two-thirds of the votes that all our stockholders would be entitled to cast to amend or repeal specified provisions of our certificate of incorporation or bylaws.</w:t>
      </w:r>
    </w:p>
    <w:p>
      <w:pPr>
        <w:spacing w:after="0" w:line="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a period of three years after the date of the transaction in which the person acquired in excess of 15% of our outstanding voting stock, unless the merger or combination is approved in a prescribed manner.</w:t>
      </w:r>
    </w:p>
    <w:p>
      <w:pPr>
        <w:spacing w:after="0" w:line="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w:t>
      </w:r>
    </w:p>
    <w:p>
      <w:pPr>
        <w:spacing w:after="0" w:line="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63" w:lineRule="exact"/>
        <w:rPr>
          <w:sz w:val="20"/>
          <w:szCs w:val="20"/>
          <w:color w:val="auto"/>
        </w:rPr>
      </w:pPr>
    </w:p>
    <w:p>
      <w:pPr>
        <w:ind w:left="960" w:hanging="385"/>
        <w:spacing w:after="0"/>
        <w:tabs>
          <w:tab w:leader="none" w:pos="9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26" w:lineRule="exact"/>
        <w:rPr>
          <w:rFonts w:ascii="Times New Roman" w:cs="Times New Roman" w:eastAsia="Times New Roman" w:hAnsi="Times New Roman"/>
          <w:sz w:val="16"/>
          <w:szCs w:val="16"/>
          <w:color w:val="auto"/>
        </w:rPr>
      </w:pPr>
    </w:p>
    <w:p>
      <w:pPr>
        <w:ind w:left="980" w:hanging="405"/>
        <w:spacing w:after="0" w:line="260" w:lineRule="auto"/>
        <w:tabs>
          <w:tab w:leader="none" w:pos="9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of our directors, officers, employees or stockholders to our company or our stockholders;</w:t>
      </w:r>
    </w:p>
    <w:p>
      <w:pPr>
        <w:spacing w:after="0" w:line="286" w:lineRule="exact"/>
        <w:rPr>
          <w:rFonts w:ascii="Times New Roman" w:cs="Times New Roman" w:eastAsia="Times New Roman" w:hAnsi="Times New Roman"/>
          <w:sz w:val="16"/>
          <w:szCs w:val="16"/>
          <w:color w:val="auto"/>
        </w:rPr>
      </w:pPr>
    </w:p>
    <w:p>
      <w:pPr>
        <w:ind w:left="980" w:hanging="405"/>
        <w:spacing w:after="0" w:line="298" w:lineRule="auto"/>
        <w:tabs>
          <w:tab w:leader="none" w:pos="9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as to which the DGCL confers jurisdiction on the Court of Chancery of the State of Delaware; or</w:t>
      </w:r>
    </w:p>
    <w:p>
      <w:pPr>
        <w:spacing w:after="0" w:line="42" w:lineRule="exact"/>
        <w:rPr>
          <w:rFonts w:ascii="Times New Roman" w:cs="Times New Roman" w:eastAsia="Times New Roman" w:hAnsi="Times New Roman"/>
          <w:sz w:val="16"/>
          <w:szCs w:val="16"/>
          <w:color w:val="auto"/>
        </w:rPr>
      </w:pPr>
    </w:p>
    <w:p>
      <w:pPr>
        <w:ind w:left="980" w:hanging="405"/>
        <w:spacing w:after="0" w:line="280" w:lineRule="auto"/>
        <w:tabs>
          <w:tab w:leader="none" w:pos="9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our certificate of incorporation or bylaws (in each case, as they may be amended from time to time) or governed by the internal affairs doctrine.</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the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Proceeds from Registered Securities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May 4, 2021, we closed our initial public offering, or IPO, of common stock under a registration statement on Form S-1 (File No. 333-255132) that was declared effective on April 29, 2021. Information related to our intended use of the proceeds from our IPO is included in the “Use of Proceeds” section of the final prospectus dated April 29, 2021, filed with the SEC pursuant to Rule 424(b)(4) under the Securities Act. There has been no material change in the planned use of proceeds from our IPO as described in the final prospectus.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2022, we have used approximately $46.4 million of the net proceeds from the IPO.</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Restated Certificate of Incorporation of the Registrant (incorporated by reference to Exhibit 3.1 to the Registrant’s Current Report on Form 8-K, filed</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with the Securities and Exchange Commission on May 5, 2021).</w:t>
            </w:r>
          </w:p>
        </w:tc>
      </w:tr>
      <w:tr>
        <w:trPr>
          <w:trHeight w:val="208"/>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Amended and Restated Bylaws of the Registrant (incorporated by reference to Exhibit 3.2 to the Registrant’s Current Report on Form 8-K, filed with</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the Securities and Exchange Commission on May 5, 2021).</w:t>
            </w:r>
          </w:p>
        </w:tc>
      </w:tr>
      <w:tr>
        <w:trPr>
          <w:trHeight w:val="195"/>
        </w:trPr>
        <w:tc>
          <w:tcPr>
            <w:tcW w:w="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p>
        </w:tc>
        <w:tc>
          <w:tcPr>
            <w:tcW w:w="100" w:type="dxa"/>
            <w:vAlign w:val="bottom"/>
          </w:tcPr>
          <w:p>
            <w:pPr>
              <w:spacing w:after="0"/>
              <w:rPr>
                <w:sz w:val="16"/>
                <w:szCs w:val="16"/>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Collaboration and License Agreement dated as of April 6, 2022 by and between the Registrant and Jazz Pharmaceuticals Ireland Limited.</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7"/>
          </w:tcPr>
          <w:p>
            <w:pPr>
              <w:ind w:left="20"/>
              <w:spacing w:after="0" w:line="183" w:lineRule="exact"/>
              <w:rPr>
                <w:sz w:val="20"/>
                <w:szCs w:val="20"/>
                <w:color w:val="auto"/>
              </w:rPr>
            </w:pPr>
            <w:r>
              <w:rPr>
                <w:rFonts w:ascii="Times New Roman" w:cs="Times New Roman" w:eastAsia="Times New Roman" w:hAnsi="Times New Roman"/>
                <w:sz w:val="16"/>
                <w:szCs w:val="16"/>
                <w:color w:val="auto"/>
              </w:rPr>
              <w:t>Amended and Restated Loan and Security Agreement dated as of April 12, 2022, by and between the Registrant and Pacific Western Bank</w:t>
            </w: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(incorporated by reference to Exhibit 10.1 to the Registrant’s Current Report on Form 8-K, filed with the Securities and Exchange Commission on</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April 15, 2022.</w:t>
            </w:r>
          </w:p>
        </w:tc>
      </w:tr>
      <w:tr>
        <w:trPr>
          <w:trHeight w:val="55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w:t>
            </w:r>
          </w:p>
        </w:tc>
      </w:tr>
      <w:tr>
        <w:trPr>
          <w:trHeight w:val="142"/>
        </w:trPr>
        <w:tc>
          <w:tcPr>
            <w:tcW w:w="20" w:type="dxa"/>
            <w:vAlign w:val="bottom"/>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2"/>
          </w:tcPr>
          <w:p>
            <w:pPr>
              <w:ind w:left="20"/>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59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w:t>
            </w:r>
          </w:p>
        </w:tc>
      </w:tr>
      <w:tr>
        <w:trPr>
          <w:trHeight w:val="142"/>
        </w:trPr>
        <w:tc>
          <w:tcPr>
            <w:tcW w:w="20" w:type="dxa"/>
            <w:vAlign w:val="bottom"/>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2"/>
          </w:tcPr>
          <w:p>
            <w:pPr>
              <w:ind w:left="20"/>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59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 Officer Pursuant to 18 U.S.C. Section 1350, as Adopted Pursuant to Section 906</w:t>
            </w:r>
          </w:p>
        </w:tc>
      </w:tr>
      <w:tr>
        <w:trPr>
          <w:trHeight w:val="142"/>
        </w:trPr>
        <w:tc>
          <w:tcPr>
            <w:tcW w:w="20" w:type="dxa"/>
            <w:vAlign w:val="bottom"/>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Borders>
              <w:top w:val="single" w:sz="8" w:color="0000FF"/>
              <w:bottom w:val="single" w:sz="8" w:color="0000FF"/>
            </w:tcBorders>
          </w:tcPr>
          <w:p>
            <w:pPr>
              <w:ind w:left="20"/>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750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39"/>
        </w:trPr>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16"/>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16"/>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16"/>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16"/>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16"/>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r>
        <w:trPr>
          <w:trHeight w:val="472"/>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Portions of this exhibit have been omitted pursuant to Item 601(b)(10)(iv) of Regulation S-K.</w:t>
            </w:r>
          </w:p>
        </w:tc>
      </w:tr>
      <w:tr>
        <w:trPr>
          <w:trHeight w:val="182"/>
        </w:trPr>
        <w:tc>
          <w:tcPr>
            <w:tcW w:w="20" w:type="dxa"/>
            <w:vAlign w:val="bottom"/>
          </w:tcPr>
          <w:p>
            <w:pPr>
              <w:spacing w:after="0"/>
              <w:rPr>
                <w:sz w:val="15"/>
                <w:szCs w:val="15"/>
                <w:color w:val="auto"/>
              </w:rPr>
            </w:pPr>
          </w:p>
        </w:tc>
        <w:tc>
          <w:tcPr>
            <w:tcW w:w="14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6"/>
                <w:szCs w:val="16"/>
                <w:color w:val="auto"/>
              </w:rPr>
              <w:t>The certifications attached as Exhibit 32.1 that accompany this Quarterly Report, are deemed furnished and not filed with the Securities and Exchange</w:t>
            </w: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Commission and are not to be incorporated by reference into any filing of Werewolf Therapeutics, Inc. under the Securities Act of 1933, as amended,</w:t>
            </w: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or the Securities Exchange Act of 1934, as amended, whether made before or after the date of this Quarterly Report, irrespective of any general</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incorporation language contained in such filing.</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97" w:lineRule="exact"/>
        <w:rPr>
          <w:sz w:val="20"/>
          <w:szCs w:val="20"/>
          <w:color w:val="auto"/>
        </w:rPr>
      </w:pPr>
    </w:p>
    <w:p>
      <w:pPr>
        <w:ind w:left="20"/>
        <w:spacing w:after="0"/>
        <w:tabs>
          <w:tab w:leader="none" w:pos="3740" w:val="left"/>
          <w:tab w:leader="none" w:pos="418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W. Trost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17145</wp:posOffset>
            </wp:positionV>
            <wp:extent cx="44831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Timothy W. Trost</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jc w:val="cente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0"/>
        <w:spacing w:after="0" w:line="236"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721360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738505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Jazz Pharmaceuticals Ireland Limited</w:t>
      </w: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Werewolf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Dated as of April 6, 2022</w:t>
      </w:r>
    </w:p>
    <w:p>
      <w:pPr>
        <w:sectPr>
          <w:pgSz w:w="11900" w:h="16838" w:orient="portrait"/>
          <w:cols w:equalWidth="0" w:num="1">
            <w:col w:w="10840"/>
          </w:cols>
          <w:pgMar w:left="720" w:top="9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39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This Collaboration and License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April 6,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Jazz Pharmaceuticals Ireland Limited</w:t>
      </w:r>
      <w:r>
        <w:rPr>
          <w:rFonts w:ascii="Times New Roman" w:cs="Times New Roman" w:eastAsia="Times New Roman" w:hAnsi="Times New Roman"/>
          <w:sz w:val="22"/>
          <w:szCs w:val="22"/>
          <w:color w:val="auto"/>
        </w:rPr>
        <w:t>, a corporation organized under the laws of Ireland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place of business at Fifth Floor, Waterloo Exchange, Waterloo Road, Dublin 4, Ireland (“</w:t>
      </w:r>
      <w:r>
        <w:rPr>
          <w:rFonts w:ascii="Times New Roman" w:cs="Times New Roman" w:eastAsia="Times New Roman" w:hAnsi="Times New Roman"/>
          <w:sz w:val="22"/>
          <w:szCs w:val="22"/>
          <w:b w:val="1"/>
          <w:bCs w:val="1"/>
          <w:color w:val="auto"/>
        </w:rPr>
        <w:t>Jazz</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Werewolf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Therapeutics, Inc.</w:t>
      </w:r>
      <w:r>
        <w:rPr>
          <w:rFonts w:ascii="Times New Roman" w:cs="Times New Roman" w:eastAsia="Times New Roman" w:hAnsi="Times New Roman"/>
          <w:sz w:val="22"/>
          <w:szCs w:val="22"/>
          <w:color w:val="auto"/>
        </w:rPr>
        <w:t>, a corporation organized under the laws of the State of Delaware with its principal place of business at 1030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Massachusetts Avenue, Suite 210, Cambridge, MA 02138 (“</w:t>
      </w:r>
      <w:r>
        <w:rPr>
          <w:rFonts w:ascii="Times New Roman" w:cs="Times New Roman" w:eastAsia="Times New Roman" w:hAnsi="Times New Roman"/>
          <w:sz w:val="22"/>
          <w:szCs w:val="22"/>
          <w:b w:val="1"/>
          <w:bCs w:val="1"/>
          <w:color w:val="auto"/>
        </w:rPr>
        <w:t>Werewolf</w:t>
      </w:r>
      <w:r>
        <w:rPr>
          <w:rFonts w:ascii="Times New Roman" w:cs="Times New Roman" w:eastAsia="Times New Roman" w:hAnsi="Times New Roman"/>
          <w:sz w:val="22"/>
          <w:szCs w:val="22"/>
          <w:color w:val="auto"/>
        </w:rPr>
        <w:t>”). Jazz and Werewolf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Werewolf is engaged in the development of oncology therapeutic products that incorporate its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INDUKINE technology (as further described herein);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Jazz is engaged in the development and commercialization of pharmaceutical products;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Jazz desires to obtain an exclusive license to Exploit (as defined below) Licensed Products (as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wishes to engage Werewolf to perform on Jazz’s behalf certain pre-clinical development activities, and Werewolf desires to grant such license to Jazz and perform such activities, on the terms and conditions set forth in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representations, warranties, and covenants herein contained, the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sufficiency of which are hereby acknowledged, the Parties hereto hereby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7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The terms in this Agreement with initial letters capitalized, have the meaning set forth below or, if not listed below, the meaning designated in places throughout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shall mean the Person or group of Persons acting in concert that acquire control (whether by asset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merger, consolidation, reorganization or otherwise) of a Party in a Change of Control transaction or transactions.</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 Party, any Person that, directly or indirectly, through one (1)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intermediaries, controls, is controlled by or is under common control with such Party. For purposes of this definition, “control” and, with correlative meanings, the terms “controlling”, “controlled by” and “under common control with” means (a) the possession, directly or indirectly, of the power to direct the management or policies of a Person, whether through the ownership of voting securities, by contract relating to voting rights or corporate governance, or otherwise; or (b) the ownership, directly or indirectly, of more than fifty percent (50%) of the voting securities or other ownership interest of a Person (or,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68" w:name="page69"/>
    <w:bookmarkEnd w:id="68"/>
    <w:p>
      <w:pPr>
        <w:spacing w:after="0" w:line="19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or policies of such entity.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has the meaning set forth in Section 2.9.</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the total Net Sales of all Licensed Products in a particular Calendar Year or,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Calendar Year that includes the First Commercial Sale, the period beginning on such date of First Commercial Sale through the end of the Calendar Year in which such sale occurred. Notwithstanding the foregoing, Annual Net Sales shall only include Net Sales of Licensed Products in countries in which the Royalty Term for such Licensed Product in such country has not expired.</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any multinational, supranational, federal, state, local, municipal, foreign, or other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statute, legislation,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Body that may be in effect from time to time during the Term and applicable to a particular activity or country or other jurisdiction hereunder.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has the meaning set forth in Section 12.2.</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9.00am to 5.00pm local time on a day (other than a Saturday, Sunday, or a public holiday)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banks are open for business in Dublin, Ireland, Cambridge, Massachusetts and New York, New York.</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each respective period of three (3) consecutive months ending on March 31, June 30,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30, and December 31. For the avoidance of doubt, the first Calendar Quarter shall commence on the Effective Date, and the final Calendar Quarter shall end on the effective date of the expiration or termination of this Agreement.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each respective period of twelve (12) consecutive months ending on December 31.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avoidance of doubt, the first Calendar Year shall commence on the Effective Date, and the final Calendar Year shall end on the effective date of the expiration or termination of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Centralized Procedure</w:t>
      </w:r>
      <w:r>
        <w:rPr>
          <w:rFonts w:ascii="Times New Roman" w:cs="Times New Roman" w:eastAsia="Times New Roman" w:hAnsi="Times New Roman"/>
          <w:sz w:val="22"/>
          <w:szCs w:val="22"/>
          <w:color w:val="auto"/>
        </w:rPr>
        <w:t>” means the procedure through which a Drug Approval Application filed with the 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 in a single marketing authorization valid throughout the European Union.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cGLP</w:t>
      </w:r>
      <w:r>
        <w:rPr>
          <w:rFonts w:ascii="Times New Roman" w:cs="Times New Roman" w:eastAsia="Times New Roman" w:hAnsi="Times New Roman"/>
          <w:sz w:val="22"/>
          <w:szCs w:val="22"/>
          <w:color w:val="auto"/>
        </w:rPr>
        <w:t>” means current good laboratory practice standards, practices and procedures required, promulgated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endorsed by the FDA, as defined in U.S. 21 C.F.R. Part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such other comparable regulatory standards in jurisdictions outside the U.S.), as may be amended from time to time.</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means all good manufacturing practices under Title 21 of the United States Code of Federal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 from time to time and comparable laws and regulations applicable to the manufacture and testing of pharmaceutical materials promulgated by the EMA or other Regulatory Authority applicable to the Territory, as they may be updated from time to time, including applicable quality guidelines promulgated under the ICH.</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mean, with respect to a Person: (a) the sale of all or substantially all of such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or business; (b) a merger, reorganization or consolidation involving such Person in which the voting securities of such Person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such Person.</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one or combination of a Phase 1 Clinical Trial, Phase 2 Clinical Trial, or Phase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Trial, as the context dictates.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Licensed Product containing or consisting of one (1) or more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Compounds and one (1) or more Other Active Ingredients, whether in the same or different formulations.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means any and all activities related to pre-marketing, launching, marketing, promotion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advertising and detailing), labelling, bidding and listing, obtaining pricing and reimbursement approval, distribution, storage, handling, offering for sale, selling, having sold, importing, having imported, exporting, having exported, distributing, having distributed, providing customer service and support, conducting medical affairs, conducting post-marketing safety surveillance, and reporting of or otherwise commercializing or exploiting Licensed Compounds or Licensed Products.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has the correlative meaning with respect to such activities.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performance of Development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activities with respect to a Licensed Compound or Licensed Product, [**]. For this purpose,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has the meaning set forth in Section 14.1 of this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that certain Mutual Confidential Disclosure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as may be amended from time to time, including that certain Amendment No. 1 dated and effective as of [**], that certain Amendment No. 2 dated and effective as of [**], and that certain Amendment No. 3 dated and effective as of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any item of Information, material, Patent, or other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the possession of the right, whether directly or indirectly, and whether by ownership or license (other than by operation of the license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grants in this Agreement), to grant a license, sublicense, access or other right to or under such Information, material, Patent, or other property right as provided for herein.</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Cost of Goods</w:t>
      </w:r>
      <w:r>
        <w:rPr>
          <w:rFonts w:ascii="Times New Roman" w:cs="Times New Roman" w:eastAsia="Times New Roman" w:hAnsi="Times New Roman"/>
          <w:sz w:val="22"/>
          <w:szCs w:val="22"/>
          <w:color w:val="auto"/>
        </w:rPr>
        <w:t>” means, with respect to any Licensed Compounds or Licensed Products supplied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without duplication: (a) to the extent the Licensed Compound or Licensed Product is manufactured by the supplying Party or its Affiliates, such Party’s or such Affiliate’s [**], including: (i) direct material costs [**]; (ii) direct labor costs [**] of [**]; (iii) costs [**] of [**] activities; (iv) [**] costs; and (v) [**], all of the foregoing determined in accordance with GAAP consistently applied; and (b) to the extent Licensed Compound or Licensed Product is manufactured by a Third Party contract manufacturing organization, (1) [**], including (i) costs for [**], provided that [**], and (ii) other costs [**], to the extent such costs [**], and (2) the supplying Party’s direct labor costs for [**]. Notwithstanding the foregoing, to the extent Licensed Compound or Licensed Product is manufactured by a Party or its Affiliates, Cost of Goods will not include any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Covered</w:t>
      </w:r>
      <w:r>
        <w:rPr>
          <w:rFonts w:ascii="Times New Roman" w:cs="Times New Roman" w:eastAsia="Times New Roman" w:hAnsi="Times New Roman"/>
          <w:sz w:val="22"/>
          <w:szCs w:val="22"/>
          <w:color w:val="auto"/>
        </w:rPr>
        <w:t>” means, with respect to a particular subject matter at issue and a relevant Patent, that,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absence of ownership of or a license under such Patent, the manufacture, use, sale, offer for sale, or importation of such subject matter would infringe one or more Valid Claims of such Patent, or, as to a pending claim included in such Patent, the manufacture, use, sale, offer for sale, or importation of such subject matter would infringe such Patent if such pending claim were to issue in an issued patent, provided that such claim is being prosecuted in good faith.</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Cytokine</w:t>
      </w:r>
      <w:r>
        <w:rPr>
          <w:rFonts w:ascii="Times New Roman" w:cs="Times New Roman" w:eastAsia="Times New Roman" w:hAnsi="Times New Roman"/>
          <w:sz w:val="21"/>
          <w:szCs w:val="21"/>
          <w:color w:val="auto"/>
        </w:rPr>
        <w:t>” means any chemokine, interferon, interleukin, lymphokine, or growth factor</w:t>
      </w:r>
      <w:r>
        <w:rPr>
          <w:rFonts w:ascii="Times New Roman" w:cs="Times New Roman" w:eastAsia="Times New Roman" w:hAnsi="Times New Roman"/>
          <w:sz w:val="21"/>
          <w:szCs w:val="21"/>
          <w:color w:val="202122"/>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means any loss, damage, diminution in value, claim, demand, settlement amount, judgment,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fine, penalty, and reasonable costs and expenses of legal proceedings (including reasonable legal fees, expert fees, accounting fees or advisory fees).</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activities related to pre-clinical, non-clinical, and clinical drug discovery, research,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activities, test method development and stability testing, toxicology, Licensed Compound manufacturing process development, CMC activities, formulation process development, manufacturing scale-up, qualification and validation, including quality assurance and quality control development, and any other activities reasonably related to or intended to lead to manufacture and supply of Licensed Compounds and Licensed Products, and the development and submission of information to a Regulatory Authority. When used as a verb,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means to engage in Development. For the avoidance of doubt, Development shall include any submissions (and activities required in support thereof) required by Applicable Laws or a Regulatory Authority as a condition or in support of obtaining a pricing or reimbursement approval for an approved molecule or product.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Budget</w:t>
      </w:r>
      <w:r>
        <w:rPr>
          <w:rFonts w:ascii="Times New Roman" w:cs="Times New Roman" w:eastAsia="Times New Roman" w:hAnsi="Times New Roman"/>
          <w:sz w:val="21"/>
          <w:szCs w:val="21"/>
          <w:color w:val="auto"/>
        </w:rPr>
        <w:t>” has the meaning set forth in Section 6.2(a).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means the written plan setting forth the Development activities to be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Werewolf with respect to any Licensed Compound or Licensed Product under this Agreement, as may be amended and updated from time to time in accordance with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Records</w:t>
      </w:r>
      <w:r>
        <w:rPr>
          <w:rFonts w:ascii="Times New Roman" w:cs="Times New Roman" w:eastAsia="Times New Roman" w:hAnsi="Times New Roman"/>
          <w:sz w:val="21"/>
          <w:szCs w:val="21"/>
          <w:color w:val="auto"/>
        </w:rPr>
        <w:t>” has the meaning set forth in Section 6.8(a).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means United States Dollars.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Drug Approval Application</w:t>
      </w:r>
      <w:r>
        <w:rPr>
          <w:rFonts w:ascii="Times New Roman" w:cs="Times New Roman" w:eastAsia="Times New Roman" w:hAnsi="Times New Roman"/>
          <w:sz w:val="22"/>
          <w:szCs w:val="22"/>
          <w:color w:val="auto"/>
        </w:rPr>
        <w:t>” means (a) a New Drug Application, submitted to the FDA pursuant to 21 CFR</w:t>
      </w:r>
    </w:p>
    <w:p>
      <w:pPr>
        <w:jc w:val="both"/>
        <w:ind w:firstLine="8"/>
        <w:spacing w:after="0" w:line="209" w:lineRule="auto"/>
        <w:tabs>
          <w:tab w:leader="none" w:pos="1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314.50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(b) a Biologics License Application submitted to the FDA pursuant to Section 351(a) of the Public Health Service Act and the regulations promulgated thereunder (“</w:t>
      </w:r>
      <w:r>
        <w:rPr>
          <w:rFonts w:ascii="Times New Roman" w:cs="Times New Roman" w:eastAsia="Times New Roman" w:hAnsi="Times New Roman"/>
          <w:sz w:val="22"/>
          <w:szCs w:val="22"/>
          <w:b w:val="1"/>
          <w:bCs w:val="1"/>
          <w:color w:val="auto"/>
        </w:rPr>
        <w:t>BLA</w:t>
      </w:r>
      <w:r>
        <w:rPr>
          <w:rFonts w:ascii="Times New Roman" w:cs="Times New Roman" w:eastAsia="Times New Roman" w:hAnsi="Times New Roman"/>
          <w:sz w:val="22"/>
          <w:szCs w:val="22"/>
          <w:color w:val="auto"/>
        </w:rPr>
        <w:t>”); (c) an application for authorization to market and/or sell a biological or pharmaceutical product submitted to a Regulatory Authority in any country or jurisdiction other than the U.S., including, with respect to the European Union, a marketing authorization application filed with the EMA pursuant to the Centralized Procedure or with the applicable Regulatory Authority of a country in the European Economic Area with respect to the decentralized procedure, mutual recognition or any national approval procedure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or (d) with respect to any biological or pharmaceutical product for which a NDA, BLA or MAA has been approved by the applicable Regulatory Authority, an application to supplement or amend such NDA, BLA or MAA to expand the approved label for such biological product to include use of such biological product for an additional Indication.</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and any successor agency or authority having substantially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function.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means the economic, scientific, and political organization of member states known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European Union, as its membership may be altered from time to time, and any successor thereto.</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Equivalent Product</w:t>
      </w:r>
      <w:r>
        <w:rPr>
          <w:rFonts w:ascii="Times New Roman" w:cs="Times New Roman" w:eastAsia="Times New Roman" w:hAnsi="Times New Roman"/>
          <w:sz w:val="21"/>
          <w:szCs w:val="21"/>
          <w:color w:val="auto"/>
        </w:rPr>
        <w:t>” has the meaning set forth in Section 4.2.</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Approval</w:t>
      </w:r>
      <w:r>
        <w:rPr>
          <w:rFonts w:ascii="Times New Roman" w:cs="Times New Roman" w:eastAsia="Times New Roman" w:hAnsi="Times New Roman"/>
          <w:sz w:val="22"/>
          <w:szCs w:val="22"/>
          <w:color w:val="auto"/>
        </w:rPr>
        <w:t>” means (a) receipt of Regulatory Approval of a Licensed Product in the European Union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Centralized Procedure or in at least one of the Major European Countries and (b) first receipt of Pricing Approval for such Licensed Product in at least one of the Major European Countries.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Sponsors</w:t>
      </w:r>
      <w:r>
        <w:rPr>
          <w:rFonts w:ascii="Times New Roman" w:cs="Times New Roman" w:eastAsia="Times New Roman" w:hAnsi="Times New Roman"/>
          <w:sz w:val="22"/>
          <w:szCs w:val="22"/>
          <w:color w:val="auto"/>
        </w:rPr>
        <w:t>” means, with respect to each of Werewolf and Jazz, a key executive with senior decision-making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means to make, have made, manufacture, import, export, use, sell, offer for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sold, research, Develop, Commercialize, hold or keep (whether for disposal or otherwise), transport, distribute, promote, market or otherwise dispose of.</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agency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 Approval</w:t>
      </w:r>
      <w:r>
        <w:rPr>
          <w:rFonts w:ascii="Times New Roman" w:cs="Times New Roman" w:eastAsia="Times New Roman" w:hAnsi="Times New Roman"/>
          <w:sz w:val="21"/>
          <w:szCs w:val="21"/>
          <w:color w:val="auto"/>
        </w:rPr>
        <w:t>” means receipt of Regulatory Approval of a Licensed Product by the FDA.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Records</w:t>
      </w:r>
      <w:r>
        <w:rPr>
          <w:rFonts w:ascii="Times New Roman" w:cs="Times New Roman" w:eastAsia="Times New Roman" w:hAnsi="Times New Roman"/>
          <w:sz w:val="21"/>
          <w:szCs w:val="21"/>
          <w:color w:val="auto"/>
        </w:rPr>
        <w:t>” has the meaning set forth in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 Licensed Product and a country, the first sale for monetary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for use or consumption by the end user of such Licensed Product in such country after Regulatory Approval for the sale of such Licensed Product has been obtained in such country and where such disposition or transfer results in a recordable Net Sale in accordance with Jazz, or its Affiliate’s or Sublicensee’s applicable accounting practices (consistently applied). Sales prior to receipt of Regulatory Approval for such Licensed Product, such as so-called “treatment IND sales”, “named patient sales”, and “compassionate use sales” shall not constitute a First Commercial Sale.</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1.41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Indication</w:t>
      </w:r>
      <w:r>
        <w:rPr>
          <w:rFonts w:ascii="Times New Roman" w:cs="Times New Roman" w:eastAsia="Times New Roman" w:hAnsi="Times New Roman"/>
          <w:sz w:val="21"/>
          <w:szCs w:val="21"/>
          <w:color w:val="auto"/>
        </w:rPr>
        <w:t>” means the first Indication for which any Licensed Product has (i) been studied as referenced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applicable protocol, in relation to a Clinical Trial, or (ii) received Regulatory Approval in a particular jurisdiction (e.g., [**]).</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Force Majeure Event</w:t>
      </w:r>
      <w:r>
        <w:rPr>
          <w:rFonts w:ascii="Times New Roman" w:cs="Times New Roman" w:eastAsia="Times New Roman" w:hAnsi="Times New Roman"/>
          <w:sz w:val="21"/>
          <w:szCs w:val="21"/>
          <w:color w:val="auto"/>
        </w:rPr>
        <w:t>” has the meaning set forth in Section 19.12.</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the equivalent of one (1) appropriately qualified full-time Werewolf (including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work for a twelve (12) month period (consisting of a total of at least [**] hours per Calendar Year of dedicated effort). Any such employee who devotes fewer than [**] hours per Calendar Year on the applicable activities shall be treated as an FTE on a pro-rata basis, based upon the actual number of hours worked by such employee on such activities, divided by [**]. For the avoidance of doubt, only hours devoted by qualified scientific, medical, manufacturing, technical, regulatory and other similar employees of Werewolf, as measured in accordance with Werewolf’s normal time allocation practices, shall apply toward an FTE, and in no event shall “FTE” include hours devoted by personnel performing administrative, managerial or corporate functions (e.g., human resources, finance, legal, and investor relations).</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Cost</w:t>
      </w:r>
      <w:r>
        <w:rPr>
          <w:rFonts w:ascii="Times New Roman" w:cs="Times New Roman" w:eastAsia="Times New Roman" w:hAnsi="Times New Roman"/>
          <w:sz w:val="22"/>
          <w:szCs w:val="22"/>
          <w:color w:val="auto"/>
        </w:rPr>
        <w:t>” means the FTE Rate multiplied by the number of FTEs applied to the performance of the relevant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in accordance with the applicable Development Plan.</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means an initial rate of [**] Dollars ($[**]) per FTE per year, which rate shall apply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2022. Thereafter, the FTE Rate shall be changed annually on a Calendar Year basis to reflect any year-to-year percentage increase or decrease (as the case may be) in the Consumer Price Index for All Urban Consumers, as published by the U.S. Department of Labor, Bureau of Labor Statistics (“</w:t>
      </w:r>
      <w:r>
        <w:rPr>
          <w:rFonts w:ascii="Times New Roman" w:cs="Times New Roman" w:eastAsia="Times New Roman" w:hAnsi="Times New Roman"/>
          <w:sz w:val="22"/>
          <w:szCs w:val="22"/>
          <w:b w:val="1"/>
          <w:bCs w:val="1"/>
          <w:color w:val="auto"/>
        </w:rPr>
        <w:t>CPI</w:t>
      </w:r>
      <w:r>
        <w:rPr>
          <w:rFonts w:ascii="Times New Roman" w:cs="Times New Roman" w:eastAsia="Times New Roman" w:hAnsi="Times New Roman"/>
          <w:sz w:val="22"/>
          <w:szCs w:val="22"/>
          <w:color w:val="auto"/>
        </w:rPr>
        <w:t>”) (based on the change from the most recent CPI available as of the Effective Date to the most recent CPI available as of the date of the calculation of such revised FTE Rate). For the avoidance of doubt, the FTE Rate is intended to cover the cost of salaries, benefits, infrastructure, travel, general laboratory or general office supplies, postage, insurance, training and all other general expenses and overhead items.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generally accepted accounting principles in the United States.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Generic Version</w:t>
      </w:r>
      <w:r>
        <w:rPr>
          <w:rFonts w:ascii="Times New Roman" w:cs="Times New Roman" w:eastAsia="Times New Roman" w:hAnsi="Times New Roman"/>
          <w:sz w:val="22"/>
          <w:szCs w:val="22"/>
          <w:color w:val="auto"/>
        </w:rPr>
        <w:t>” means, with respect to a particular Licensed Product and a particular country,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or biological product that: (a) is biosimilar to, or interchangeable with, such Licensed Product, may be legally substituted for such Licensed Product, or otherwise is approved under a separate Regulatory Approval and in a manner that relied on or incorporated data submitted in connection with the regulatory filings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Licensed Product; and (b) is sold in such country by a Person other than Jazz, its Affiliates or Sublicensees.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GLP Toxicology Study</w:t>
      </w:r>
      <w:r>
        <w:rPr>
          <w:rFonts w:ascii="Times New Roman" w:cs="Times New Roman" w:eastAsia="Times New Roman" w:hAnsi="Times New Roman"/>
          <w:sz w:val="21"/>
          <w:szCs w:val="21"/>
          <w:color w:val="auto"/>
        </w:rPr>
        <w:t>” means any animal pharmacology and toxicology study conducted using cGLP.</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Body</w:t>
      </w:r>
      <w:r>
        <w:rPr>
          <w:rFonts w:ascii="Times New Roman" w:cs="Times New Roman" w:eastAsia="Times New Roman" w:hAnsi="Times New Roman"/>
          <w:sz w:val="22"/>
          <w:szCs w:val="22"/>
          <w:color w:val="auto"/>
        </w:rPr>
        <w:t>” means any: (a) nation, principality, state, commonwealth, province, territory, county,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Person and any court or other tribunal), (d) supranational, multi-national organization or body, or (e) individual, Person, or body exercising, or entitled to exercise, any executive, legislative, judicial, administrative, regulatory, police, military or taxing authority or power of any nature.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IFNα</w:t>
      </w:r>
      <w:r>
        <w:rPr>
          <w:rFonts w:ascii="Times New Roman" w:cs="Times New Roman" w:eastAsia="Times New Roman" w:hAnsi="Times New Roman"/>
          <w:sz w:val="21"/>
          <w:szCs w:val="21"/>
          <w:color w:val="auto"/>
        </w:rPr>
        <w:t>” means Interferon alpha.</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application filed with a Regulatory Authority for authorization to commence Clinical Trials,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an Investigational New Drug Application as defined in the United States Federal Food, Drug, and Cosmetic Act and the guidelines, guidances, and requirements promulgated thereunder, (b) any equivalent of a United States IND in other countries or regulatory jurisdictions, (e.g., a Clinical Trial Application (“</w:t>
      </w:r>
      <w:r>
        <w:rPr>
          <w:rFonts w:ascii="Times New Roman" w:cs="Times New Roman" w:eastAsia="Times New Roman" w:hAnsi="Times New Roman"/>
          <w:sz w:val="22"/>
          <w:szCs w:val="22"/>
          <w:b w:val="1"/>
          <w:bCs w:val="1"/>
          <w:color w:val="auto"/>
        </w:rPr>
        <w:t>CTA</w:t>
      </w:r>
      <w:r>
        <w:rPr>
          <w:rFonts w:ascii="Times New Roman" w:cs="Times New Roman" w:eastAsia="Times New Roman" w:hAnsi="Times New Roman"/>
          <w:sz w:val="22"/>
          <w:szCs w:val="22"/>
          <w:color w:val="auto"/>
        </w:rPr>
        <w:t>”)), and (c) all amendments thereof that may be filed with respect to the foregoing.</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 Clearance</w:t>
      </w:r>
      <w:r>
        <w:rPr>
          <w:rFonts w:ascii="Times New Roman" w:cs="Times New Roman" w:eastAsia="Times New Roman" w:hAnsi="Times New Roman"/>
          <w:sz w:val="22"/>
          <w:szCs w:val="22"/>
          <w:color w:val="auto"/>
        </w:rPr>
        <w:t>” means, with respect to an IND, the earlier to occur of: (a) receipt by or on behalf of Jazz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Affiliates or Sublicensees, of written confirmation from a Regulatory Authority that Clinical Trials may commence or be conducted under such IND; or (b) expiration of the applicable waiting period after which Clinical Trials may commence or be conducted under such IND.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has the meaning set forth in Section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 Data Package</w:t>
      </w:r>
      <w:r>
        <w:rPr>
          <w:rFonts w:ascii="Times New Roman" w:cs="Times New Roman" w:eastAsia="Times New Roman" w:hAnsi="Times New Roman"/>
          <w:sz w:val="21"/>
          <w:szCs w:val="21"/>
          <w:color w:val="auto"/>
        </w:rPr>
        <w:t>” has the meaning set forth in Section 6.4(a).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IND-Enabling Studies</w:t>
      </w:r>
      <w:r>
        <w:rPr>
          <w:rFonts w:ascii="Times New Roman" w:cs="Times New Roman" w:eastAsia="Times New Roman" w:hAnsi="Times New Roman"/>
          <w:sz w:val="22"/>
          <w:szCs w:val="22"/>
          <w:color w:val="auto"/>
        </w:rPr>
        <w:t>” means the efficacy, genotoxicity, acute toxicology, safety pharmacology, and sub-chronic toxicology studies, that are intended to satisfy the applicable regulatory requirements, using applicable cGLP, that meet the standard necessary for submission as part of an IND.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has the meaning set forth in Section 16.3.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Indemnitor</w:t>
      </w:r>
      <w:r>
        <w:rPr>
          <w:rFonts w:ascii="Times New Roman" w:cs="Times New Roman" w:eastAsia="Times New Roman" w:hAnsi="Times New Roman"/>
          <w:sz w:val="21"/>
          <w:szCs w:val="21"/>
          <w:color w:val="auto"/>
        </w:rPr>
        <w:t>” has the meaning set forth in Section 16.3.</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a distinct disease, disorder, illness, or health condition and all of its associated 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symptoms, or any progression of the foregoing (including precursor conditions). An Indication shall be distinct from another Indication if the two indications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prevention or treatment of diseases, disorders, illnesses, or health conditions caused or characterized by, or associated with, [**].</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all knowledge of a technical, scientific, business and other nature, including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methods, processes, practices, formulae, instructions, skills, techniques, procedures, experiences, ideas, technical assistance, designs, drawings, assembly procedures, computer programs, apparatuses, specifications, data, results and other material, regulatory data, and other biological, chemical, pharmacological, toxicological, pharmaceutical, physical and analytical, pre-clinical, clinical, safety, manufacturing and quality control data and information, including study designs and protocols, reagents (e.g., plasmids, proteins, cell lines, assays and compounds) and biological methodology; in each case (whether or not confidential, proprietary, patented or patentable, of commercial advantage or not) in written, electronic, or any other form now known or hereafter developed.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Development Plan</w:t>
      </w:r>
      <w:r>
        <w:rPr>
          <w:rFonts w:ascii="Times New Roman" w:cs="Times New Roman" w:eastAsia="Times New Roman" w:hAnsi="Times New Roman"/>
          <w:sz w:val="21"/>
          <w:szCs w:val="21"/>
          <w:color w:val="auto"/>
        </w:rPr>
        <w:t xml:space="preserve">” means the initial Development Plan set forth in </w:t>
      </w:r>
      <w:r>
        <w:rPr>
          <w:rFonts w:ascii="Times New Roman" w:cs="Times New Roman" w:eastAsia="Times New Roman" w:hAnsi="Times New Roman"/>
          <w:sz w:val="21"/>
          <w:szCs w:val="21"/>
          <w:b w:val="1"/>
          <w:bCs w:val="1"/>
          <w:color w:val="auto"/>
        </w:rPr>
        <w:t>Schedule 1.60</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Lead Molecule</w:t>
      </w:r>
      <w:r>
        <w:rPr>
          <w:rFonts w:ascii="Times New Roman" w:cs="Times New Roman" w:eastAsia="Times New Roman" w:hAnsi="Times New Roman"/>
          <w:sz w:val="22"/>
          <w:szCs w:val="22"/>
          <w:color w:val="auto"/>
        </w:rPr>
        <w:t>” means that certain IFNα INDUKINE molecule referred to internally by Werewolf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WTX-613, as described in the letter from Reid Leonard, Chief Operating Officer of Werewolf, to Robert Iannone, Executive Vice President, Global Head of Research and Development of Jazz Pharmaceuticals PLC dated as of the Effective Date.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Initiated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Initiates</w:t>
      </w:r>
      <w:r>
        <w:rPr>
          <w:rFonts w:ascii="Times New Roman" w:cs="Times New Roman" w:eastAsia="Times New Roman" w:hAnsi="Times New Roman"/>
          <w:sz w:val="22"/>
          <w:szCs w:val="22"/>
          <w:color w:val="auto"/>
        </w:rPr>
        <w:t>” means, with respect to a Clinical Trial, the first dosing of the first (1st)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human subject in such Clinical Trial.</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has the meaning set forth in Section 17.4.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Inspector</w:t>
      </w:r>
      <w:r>
        <w:rPr>
          <w:rFonts w:ascii="Times New Roman" w:cs="Times New Roman" w:eastAsia="Times New Roman" w:hAnsi="Times New Roman"/>
          <w:sz w:val="21"/>
          <w:szCs w:val="21"/>
          <w:color w:val="auto"/>
        </w:rPr>
        <w:t>” has the meaning set forth in Section 6.7.</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any work of authorship, copyright, Patents, utility models, trade secret,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tradename, trade or service mark (whether or not registered or unregistered), database rights, design rights (whether or not registered or unregistered), Know-How, and any registrations or applications relating to any of the foregoing, and any other rights of a similar nature or character, whether now existing or hereafter invented, discovered, created, made, conceived, developed, arising, or otherwise coming into being, as recognized by Applicable Law.</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IFNα-based Domain</w:t>
      </w:r>
      <w:r>
        <w:rPr>
          <w:rFonts w:ascii="Times New Roman" w:cs="Times New Roman" w:eastAsia="Times New Roman" w:hAnsi="Times New Roman"/>
          <w:sz w:val="22"/>
          <w:szCs w:val="22"/>
          <w:color w:val="auto"/>
        </w:rPr>
        <w:t>” means (a) any naturally occurring or engineered IFNα or (b) any amino acid sequence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variant thereof that (i) binds the type I IFN receptor and (ii) activates type I IFN receptor mediated signal transduction.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Background Know-How</w:t>
      </w:r>
      <w:r>
        <w:rPr>
          <w:rFonts w:ascii="Times New Roman" w:cs="Times New Roman" w:eastAsia="Times New Roman" w:hAnsi="Times New Roman"/>
          <w:sz w:val="22"/>
          <w:szCs w:val="22"/>
          <w:color w:val="auto"/>
        </w:rPr>
        <w:t>” means any and all Know-How Controlled by Jazz or any of its Affiliates (a)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 Date or (b) during the Term that is developed or invented through efforts outside of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Background Patents</w:t>
      </w:r>
      <w:r>
        <w:rPr>
          <w:rFonts w:ascii="Times New Roman" w:cs="Times New Roman" w:eastAsia="Times New Roman" w:hAnsi="Times New Roman"/>
          <w:sz w:val="22"/>
          <w:szCs w:val="22"/>
          <w:color w:val="auto"/>
        </w:rPr>
        <w:t>” means any and all Patents Controlled by Jazz or any of its Affiliates 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or during the Term that Cover any Jazz Background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Jazz Development Activities</w:t>
      </w:r>
      <w:r>
        <w:rPr>
          <w:rFonts w:ascii="Times New Roman" w:cs="Times New Roman" w:eastAsia="Times New Roman" w:hAnsi="Times New Roman"/>
          <w:sz w:val="21"/>
          <w:szCs w:val="21"/>
          <w:color w:val="auto"/>
        </w:rPr>
        <w:t>” has the meaning set forth in Section 6.1.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Jazz Development IP</w:t>
      </w:r>
      <w:r>
        <w:rPr>
          <w:rFonts w:ascii="Times New Roman" w:cs="Times New Roman" w:eastAsia="Times New Roman" w:hAnsi="Times New Roman"/>
          <w:sz w:val="21"/>
          <w:szCs w:val="21"/>
          <w:color w:val="auto"/>
        </w:rPr>
        <w:t>” means the Jazz Development Know-How and Jazz Development Patents.</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Development Know-How</w:t>
      </w:r>
      <w:r>
        <w:rPr>
          <w:rFonts w:ascii="Times New Roman" w:cs="Times New Roman" w:eastAsia="Times New Roman" w:hAnsi="Times New Roman"/>
          <w:sz w:val="22"/>
          <w:szCs w:val="22"/>
          <w:color w:val="auto"/>
        </w:rPr>
        <w:t>” means any and all Know-How that is developed or invented: (a) between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Effective Date, by or on behalf of Werewolf or its Affiliates in the course of performing Development activities with respect to the Initial Lead Molecule, provided that such Know-How is not Werewolf Development Know-How, (b) during the Term, by or on behalf of a Party or its Affiliates, or by or on behalf of both Parties or their Affiliates jointly, in each case in the course of performing any Werewolf Development Activities, provided that such Know-How is not Werewolf Development Know-How, or (c) during the Term, solely by or on behalf of Jazz or its Affiliates in the course of performing activities directly related to the Exploitation of one or more Licensed Products.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Development Patents</w:t>
      </w:r>
      <w:r>
        <w:rPr>
          <w:rFonts w:ascii="Times New Roman" w:cs="Times New Roman" w:eastAsia="Times New Roman" w:hAnsi="Times New Roman"/>
          <w:sz w:val="22"/>
          <w:szCs w:val="22"/>
          <w:color w:val="auto"/>
        </w:rPr>
        <w:t>” means any and all Patents Controlled by Jazz on or after the Effective Date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 Jazz Development Know-How.</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Development Plan</w:t>
      </w:r>
      <w:r>
        <w:rPr>
          <w:rFonts w:ascii="Times New Roman" w:cs="Times New Roman" w:eastAsia="Times New Roman" w:hAnsi="Times New Roman"/>
          <w:sz w:val="22"/>
          <w:szCs w:val="22"/>
          <w:color w:val="auto"/>
        </w:rPr>
        <w:t>” means the written plan submitted by Jazz to the JSC and finalized by Jazz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6.11(a), as such plan may be amended and updated from time to time in accordance with Section 6.11(b).</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Jazz Indemnitees</w:t>
      </w:r>
      <w:r>
        <w:rPr>
          <w:rFonts w:ascii="Times New Roman" w:cs="Times New Roman" w:eastAsia="Times New Roman" w:hAnsi="Times New Roman"/>
          <w:sz w:val="22"/>
          <w:szCs w:val="22"/>
          <w:color w:val="auto"/>
        </w:rPr>
        <w:t>” means the following Persons: (a) Jazz; (b) Jazz’s current and future Affiliates; (c)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Representatives of the Persons referred to in clauses (a) and (b) above; and (d) the respective successors and permitted assigns of the Persons referred to in clauses (a), (b), and (c) above.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Jazz Polypeptide</w:t>
      </w:r>
      <w:r>
        <w:rPr>
          <w:rFonts w:ascii="Times New Roman" w:cs="Times New Roman" w:eastAsia="Times New Roman" w:hAnsi="Times New Roman"/>
          <w:sz w:val="21"/>
          <w:szCs w:val="21"/>
          <w:color w:val="auto"/>
        </w:rPr>
        <w:t>” has the meaning set forth in Section 1.79(c).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has the meaning set forth in Section 2.1.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Key Personnel</w:t>
      </w:r>
      <w:r>
        <w:rPr>
          <w:rFonts w:ascii="Times New Roman" w:cs="Times New Roman" w:eastAsia="Times New Roman" w:hAnsi="Times New Roman"/>
          <w:sz w:val="21"/>
          <w:szCs w:val="21"/>
          <w:color w:val="auto"/>
        </w:rPr>
        <w:t>” has the meaning set forth in Section 6.5.</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any and all data, results, inventions, methods, processes, trade secrets, techniques,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and other proprietary Information, whether patentable or not but which are not generally known, including discoveries, formulae, materials (including chemicals), biological materials (including expression constructs, assays, animal models, nucleic acid sequences, amino acid sequences, and cell lines), practices, test data (including pharmacological, toxicological, pre-clinical and clinical information and test data), analytical and quality control data (including drug stability data), manufacturing technology and data (including formulation data), and sales forecasts, data and descriptions.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Compound</w:t>
      </w:r>
      <w:r>
        <w:rPr>
          <w:rFonts w:ascii="Times New Roman" w:cs="Times New Roman" w:eastAsia="Times New Roman" w:hAnsi="Times New Roman"/>
          <w:sz w:val="21"/>
          <w:szCs w:val="21"/>
          <w:color w:val="auto"/>
        </w:rPr>
        <w:t>” means:</w:t>
      </w:r>
    </w:p>
    <w:p>
      <w:pPr>
        <w:spacing w:after="0" w:line="183" w:lineRule="exact"/>
        <w:rPr>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Initial Lead Molecule,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8" w:lineRule="exact"/>
        <w:rPr>
          <w:sz w:val="20"/>
          <w:szCs w:val="20"/>
          <w:color w:val="auto"/>
        </w:rPr>
      </w:pPr>
    </w:p>
    <w:p>
      <w:pPr>
        <w:jc w:val="both"/>
        <w:ind w:firstLine="1304"/>
        <w:spacing w:after="0" w:line="217" w:lineRule="auto"/>
        <w:tabs>
          <w:tab w:leader="none" w:pos="193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5.1, any isolated recombinant polypeptide that is identified, developed, synthesized, created, discovered, generated or invented by or on behalf of Werewolf or its Affiliates prior to the Effective Date or during the Term and that comprises at least one of each of the following domains (i) an IFNα-based Domain, [**]; such polypeptide may also comprise one or more additional domains, including one or more [**] domains but may not comprise any [**] domains other than [**]; or</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4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isolated recombinant polypeptide that is identified, developed, synthesized, created, discovered, generated or invented by or on behalf of Jazz or its Affiliates during the Term using the Licensed Technology and that comprises at least one of each of the following domains: (i) an IFNα-based Domain, [**]; such polypeptide may also comprise one or more additional domains, including one or more [**] domains but may not comprise any [**] domains other than [**] (each such polypeptide, a “</w:t>
      </w:r>
      <w:r>
        <w:rPr>
          <w:rFonts w:ascii="Times New Roman" w:cs="Times New Roman" w:eastAsia="Times New Roman" w:hAnsi="Times New Roman"/>
          <w:sz w:val="22"/>
          <w:szCs w:val="22"/>
          <w:b w:val="1"/>
          <w:bCs w:val="1"/>
          <w:color w:val="auto"/>
        </w:rPr>
        <w:t>Jazz Polypeptide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(b)-(c) solely to the extent that [**] of the recombinant polypeptide [**].</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the Werewolf Development Know-How and the Werewolf Background Know-</w:t>
      </w:r>
    </w:p>
    <w:p>
      <w:pPr>
        <w:spacing w:after="0"/>
        <w:rPr>
          <w:sz w:val="20"/>
          <w:szCs w:val="20"/>
          <w:color w:val="auto"/>
        </w:rPr>
      </w:pPr>
      <w:r>
        <w:rPr>
          <w:rFonts w:ascii="Times New Roman" w:cs="Times New Roman" w:eastAsia="Times New Roman" w:hAnsi="Times New Roman"/>
          <w:sz w:val="22"/>
          <w:szCs w:val="22"/>
          <w:color w:val="auto"/>
        </w:rPr>
        <w:t>How.</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Patents</w:t>
      </w:r>
      <w:r>
        <w:rPr>
          <w:rFonts w:ascii="Times New Roman" w:cs="Times New Roman" w:eastAsia="Times New Roman" w:hAnsi="Times New Roman"/>
          <w:sz w:val="21"/>
          <w:szCs w:val="21"/>
          <w:color w:val="auto"/>
        </w:rPr>
        <w:t>” means the Werewolf Development Patents and the Werewolf Background Patents.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product that contains one (1) or more Licensed Compounds, whether alone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one (1) or more Other Active Ingredients, in any dosage strength, form, or formulation, and for any mode of administration. For the avoidance of doubt, all Licensed Products that contain the same Licensed Compound shall be considered to be the same Licensed Product, whether or not with Other Active Ingredients, and whether or not they are in a different pharmaceutical form, formulation, dosage form, dosage strength, or which have a different mode of delivery, and for such purposes, all Licensed Compounds that have the same domains shall be considered to be the same Licensed Compound.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Product Improvement Fee</w:t>
      </w:r>
      <w:r>
        <w:rPr>
          <w:rFonts w:ascii="Times New Roman" w:cs="Times New Roman" w:eastAsia="Times New Roman" w:hAnsi="Times New Roman"/>
          <w:sz w:val="21"/>
          <w:szCs w:val="21"/>
          <w:color w:val="auto"/>
        </w:rPr>
        <w:t>” has the meaning set forth in Section 5.1(c)(ii).</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 Improvement Test Data</w:t>
      </w:r>
      <w:r>
        <w:rPr>
          <w:rFonts w:ascii="Times New Roman" w:cs="Times New Roman" w:eastAsia="Times New Roman" w:hAnsi="Times New Roman"/>
          <w:sz w:val="22"/>
          <w:szCs w:val="22"/>
          <w:color w:val="auto"/>
        </w:rPr>
        <w:t>” means data arising from the testing of (a) a New Domain that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IFNα-based Domain or (b) a New Domain together with an IFNα-based Domain, which data can be used to determine whether such New Domain could result in a Licensed Compound that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Technology</w:t>
      </w:r>
      <w:r>
        <w:rPr>
          <w:rFonts w:ascii="Times New Roman" w:cs="Times New Roman" w:eastAsia="Times New Roman" w:hAnsi="Times New Roman"/>
          <w:sz w:val="21"/>
          <w:szCs w:val="21"/>
          <w:color w:val="auto"/>
        </w:rPr>
        <w:t>” means the Werewolf Background IP and Werewolf Development IP.</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Mainland China</w:t>
      </w:r>
      <w:r>
        <w:rPr>
          <w:rFonts w:ascii="Times New Roman" w:cs="Times New Roman" w:eastAsia="Times New Roman" w:hAnsi="Times New Roman"/>
          <w:sz w:val="21"/>
          <w:szCs w:val="21"/>
          <w:color w:val="auto"/>
        </w:rPr>
        <w:t>” means the People’s Republic of China; it does not include Hong Kong or Taiwan.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European Country</w:t>
      </w:r>
      <w:r>
        <w:rPr>
          <w:rFonts w:ascii="Times New Roman" w:cs="Times New Roman" w:eastAsia="Times New Roman" w:hAnsi="Times New Roman"/>
          <w:sz w:val="21"/>
          <w:szCs w:val="21"/>
          <w:color w:val="auto"/>
        </w:rPr>
        <w:t>” means any of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Market Country</w:t>
      </w:r>
      <w:r>
        <w:rPr>
          <w:rFonts w:ascii="Times New Roman" w:cs="Times New Roman" w:eastAsia="Times New Roman" w:hAnsi="Times New Roman"/>
          <w:sz w:val="21"/>
          <w:szCs w:val="21"/>
          <w:color w:val="auto"/>
        </w:rPr>
        <w:t>” means any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Milestone Event</w:t>
      </w:r>
      <w:r>
        <w:rPr>
          <w:rFonts w:ascii="Times New Roman" w:cs="Times New Roman" w:eastAsia="Times New Roman" w:hAnsi="Times New Roman"/>
          <w:sz w:val="21"/>
          <w:szCs w:val="21"/>
          <w:color w:val="auto"/>
        </w:rPr>
        <w:t>” means a milestone event described in a table set forth in Section 10.2 or 10.3.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Milestone Payment</w:t>
      </w:r>
      <w:r>
        <w:rPr>
          <w:rFonts w:ascii="Times New Roman" w:cs="Times New Roman" w:eastAsia="Times New Roman" w:hAnsi="Times New Roman"/>
          <w:sz w:val="21"/>
          <w:szCs w:val="21"/>
          <w:color w:val="auto"/>
        </w:rPr>
        <w:t>” means a milestone payment described in a table set forth in Section 10.2 or 10.3.</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with respect to a Licensed Product, the total amounts received by Jazz, its Affiliates,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Sublicensees in the Territory from sales of such Licensed Product to Third Parties,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arm’s length transactions, less customary deductions, to the extent that they are in accordance with the standard internal policies and procedures consistently applied by that party recording such sales to calculate revenue for financial reporting purposes, including deductions actually taken, paid, accrued, allocated or allowed based on good faith estimates, with respect to such sales (and consistently applied) including:</w:t>
      </w:r>
    </w:p>
    <w:p>
      <w:pPr>
        <w:spacing w:after="0" w:line="150" w:lineRule="exact"/>
        <w:rPr>
          <w:sz w:val="20"/>
          <w:szCs w:val="20"/>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228"/>
        <w:spacing w:after="0" w:line="236" w:lineRule="auto"/>
        <w:rPr>
          <w:sz w:val="20"/>
          <w:szCs w:val="20"/>
          <w:color w:val="auto"/>
        </w:rPr>
      </w:pPr>
      <w:r>
        <w:rPr>
          <w:rFonts w:ascii="Times New Roman" w:cs="Times New Roman" w:eastAsia="Times New Roman" w:hAnsi="Times New Roman"/>
          <w:sz w:val="22"/>
          <w:szCs w:val="22"/>
          <w:color w:val="auto"/>
        </w:rPr>
        <w:t>For clarity, Net Sales shall not include [**] or [**]. Further, [**] shall be disregarded in determining Net Sales. Net Sales shall not include sales between or among Jazz, its Affiliates, or Sublicensees.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calculating Net Sales, all Net Sales shall be converted into Dollars in accordance with Section 11.1.</w:t>
      </w:r>
    </w:p>
    <w:p>
      <w:pPr>
        <w:spacing w:after="0" w:line="179" w:lineRule="exact"/>
        <w:rPr>
          <w:sz w:val="20"/>
          <w:szCs w:val="20"/>
          <w:color w:val="auto"/>
        </w:rPr>
      </w:pPr>
    </w:p>
    <w:p>
      <w:pPr>
        <w:ind w:firstLine="254"/>
        <w:spacing w:after="0" w:line="236" w:lineRule="auto"/>
        <w:rPr>
          <w:sz w:val="20"/>
          <w:szCs w:val="20"/>
          <w:color w:val="auto"/>
        </w:rPr>
      </w:pPr>
      <w:r>
        <w:rPr>
          <w:rFonts w:ascii="Times New Roman" w:cs="Times New Roman" w:eastAsia="Times New Roman" w:hAnsi="Times New Roman"/>
          <w:sz w:val="22"/>
          <w:szCs w:val="22"/>
          <w:color w:val="auto"/>
        </w:rPr>
        <w:t>In the event a Licensed Product is a Combination Product, the Net Sales for such Combination Product shall be calculated as follows:</w:t>
      </w:r>
    </w:p>
    <w:p>
      <w:pPr>
        <w:spacing w:after="0" w:line="150" w:lineRule="exact"/>
        <w:rPr>
          <w:sz w:val="20"/>
          <w:szCs w:val="20"/>
          <w:color w:val="auto"/>
        </w:rPr>
      </w:pPr>
    </w:p>
    <w:p>
      <w:pPr>
        <w:jc w:val="both"/>
        <w:ind w:firstLine="1952"/>
        <w:spacing w:after="0" w:line="217" w:lineRule="auto"/>
        <w:tabs>
          <w:tab w:leader="none" w:pos="25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Jazz, its Affiliate, or Sublicensee separately sells in such country or other jurisdiction, (A) a product containing as its sole active ingredient a Licensed Compound contained in such Combination Product (the “</w:t>
      </w:r>
      <w:r>
        <w:rPr>
          <w:rFonts w:ascii="Times New Roman" w:cs="Times New Roman" w:eastAsia="Times New Roman" w:hAnsi="Times New Roman"/>
          <w:sz w:val="22"/>
          <w:szCs w:val="22"/>
          <w:b w:val="1"/>
          <w:bCs w:val="1"/>
          <w:color w:val="auto"/>
        </w:rPr>
        <w:t>Mono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and (B) products containing as their sole active ingredients the Other Active Ingredients in such Combination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Net Sales attributable to such Combination Product shall be calculated by multiplying actual Net Sales of such Combination Product by the fraction A/(A+B) where: “A” is [**] and “B”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98" w:lineRule="exact"/>
        <w:rPr>
          <w:sz w:val="20"/>
          <w:szCs w:val="20"/>
          <w:color w:val="auto"/>
        </w:rPr>
      </w:pPr>
    </w:p>
    <w:p>
      <w:pPr>
        <w:jc w:val="both"/>
        <w:ind w:firstLine="1952"/>
        <w:spacing w:after="0" w:line="220" w:lineRule="auto"/>
        <w:tabs>
          <w:tab w:leader="none" w:pos="258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Jazz, its Affiliate, or Sublicensee separately sells in such country or other jurisdiction the Mono Product but does not separately sell in such country or other jurisdiction products containing as their sole active ingredients the Other Active Ingredients in such Combination Product, the Net Sales attributable to such Combination Product shall be calculated by multiplying the Net Sales of such Combination Product by the fraction A/C where: “A” is [**], and “C” is [**].</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0" w:lineRule="auto"/>
        <w:tabs>
          <w:tab w:leader="none" w:pos="2592"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Jazz, its Affiliates, and Sublicensees do not separately sell in such country or other jurisdiction the Mono Product but do separately sell products containing as their sole active ingredients the Other Active Ingredients contained in such Combination Product, the Net Sales attributable to such Combination Product shall be calculated by multiplying the Net Sales of such Combination Product by the fraction (D-E)/D where: “D” is the [**] and “E” is the [**].</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Jazz, its Affiliates, and Sublicensees do not separately sell in such country or other jurisdiction both the Mono Product and the Other Active Ingredients in such Combination Product, the Net Sales attributable to such Combination Product shall be determined by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Domain</w:t>
      </w:r>
      <w:r>
        <w:rPr>
          <w:rFonts w:ascii="Times New Roman" w:cs="Times New Roman" w:eastAsia="Times New Roman" w:hAnsi="Times New Roman"/>
          <w:sz w:val="21"/>
          <w:szCs w:val="21"/>
          <w:color w:val="auto"/>
        </w:rPr>
        <w:t>” has the meaning set forth in Section 5.1(b).</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Third Party IP</w:t>
      </w:r>
      <w:r>
        <w:rPr>
          <w:rFonts w:ascii="Times New Roman" w:cs="Times New Roman" w:eastAsia="Times New Roman" w:hAnsi="Times New Roman"/>
          <w:sz w:val="21"/>
          <w:szCs w:val="21"/>
          <w:color w:val="auto"/>
        </w:rPr>
        <w:t>” has the meaning set forth in Section 5.1(c)(ii).</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Third Party IP Payment</w:t>
      </w:r>
      <w:r>
        <w:rPr>
          <w:rFonts w:ascii="Times New Roman" w:cs="Times New Roman" w:eastAsia="Times New Roman" w:hAnsi="Times New Roman"/>
          <w:sz w:val="21"/>
          <w:szCs w:val="21"/>
          <w:color w:val="auto"/>
        </w:rPr>
        <w:t>” has the meaning set forth in Section 5.1(c)(ii).</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Active Ingredient</w:t>
      </w:r>
      <w:r>
        <w:rPr>
          <w:rFonts w:ascii="Times New Roman" w:cs="Times New Roman" w:eastAsia="Times New Roman" w:hAnsi="Times New Roman"/>
          <w:sz w:val="22"/>
          <w:szCs w:val="22"/>
          <w:color w:val="auto"/>
        </w:rPr>
        <w:t>” means any active ingredient in a Combination Product which is not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but excluding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1.96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Patents</w:t>
      </w:r>
      <w:r>
        <w:rPr>
          <w:rFonts w:ascii="Times New Roman" w:cs="Times New Roman" w:eastAsia="Times New Roman" w:hAnsi="Times New Roman"/>
          <w:sz w:val="21"/>
          <w:szCs w:val="21"/>
          <w:color w:val="auto"/>
        </w:rPr>
        <w:t>” means: (a) all national, regional and international patents and patent applications, including provisional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applications and any and all rights to claim priority thereto;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a human clinical trial of a Licensed Product that satisfies the requirements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Phase 1 study as defined in 21 CFR § 312.21(a) (or any amended or successor regulations), regardless of where such clinical trial is conducted.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 a human clinical trial of a Licensed Product that satisfies the requirements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Phase 2 study as defined in 21 CFR § 312.21(b) (or any amended or successor regulations), regardless of where such clinical trial is conducted; provided that (b) [**], and (c)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1.100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human clinical trial of a Licensed Product that satisfies the requirements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Phase 3 study as defined in 21 CFR § 312.21(c) (or any amended or successor regulations), regardless of where such clinical trial is conducted, and is designed to ascertain efficacy and safety of such Licensed Product for the purpose of submitting a Drug Approval Application to a Regulatory Authority.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 Delivery Schedule</w:t>
      </w:r>
      <w:r>
        <w:rPr>
          <w:rFonts w:ascii="Times New Roman" w:cs="Times New Roman" w:eastAsia="Times New Roman" w:hAnsi="Times New Roman"/>
          <w:sz w:val="22"/>
          <w:szCs w:val="22"/>
          <w:color w:val="auto"/>
        </w:rPr>
        <w:t>” has the meaning set forth in Section 8.2(b).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 Revisions</w:t>
      </w:r>
      <w:r>
        <w:rPr>
          <w:rFonts w:ascii="Times New Roman" w:cs="Times New Roman" w:eastAsia="Times New Roman" w:hAnsi="Times New Roman"/>
          <w:sz w:val="22"/>
          <w:szCs w:val="22"/>
          <w:color w:val="auto"/>
        </w:rPr>
        <w:t>” has the meaning set forth in Section 6.2(b).</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Pricing Approval</w:t>
      </w:r>
      <w:r>
        <w:rPr>
          <w:rFonts w:ascii="Times New Roman" w:cs="Times New Roman" w:eastAsia="Times New Roman" w:hAnsi="Times New Roman"/>
          <w:sz w:val="22"/>
          <w:szCs w:val="22"/>
          <w:color w:val="auto"/>
        </w:rPr>
        <w:t>” means such governmental approval, agreement, determination, or decision establishing prices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 Licensed Product that can be charged and/or reimbursed in regulatory jurisdictions where the applicable Regulatory Authorities approve or determine the price and/or reimbursement of pharmaceutical products.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Patents</w:t>
      </w:r>
      <w:r>
        <w:rPr>
          <w:rFonts w:ascii="Times New Roman" w:cs="Times New Roman" w:eastAsia="Times New Roman" w:hAnsi="Times New Roman"/>
          <w:sz w:val="22"/>
          <w:szCs w:val="22"/>
          <w:color w:val="auto"/>
        </w:rPr>
        <w:t>” means any Werewolf Background Patent or Werewolf Development Patent that solely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composition of matter, manufacture, or method of use of one or more Licensed Compounds or Licensed Products.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Project Manager</w:t>
      </w:r>
      <w:r>
        <w:rPr>
          <w:rFonts w:ascii="Times New Roman" w:cs="Times New Roman" w:eastAsia="Times New Roman" w:hAnsi="Times New Roman"/>
          <w:sz w:val="22"/>
          <w:szCs w:val="22"/>
          <w:color w:val="auto"/>
        </w:rPr>
        <w:t>” has the meaning set forth in Section 2.8.</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Proposal Budget</w:t>
      </w:r>
      <w:r>
        <w:rPr>
          <w:rFonts w:ascii="Times New Roman" w:cs="Times New Roman" w:eastAsia="Times New Roman" w:hAnsi="Times New Roman"/>
          <w:sz w:val="22"/>
          <w:szCs w:val="22"/>
          <w:color w:val="auto"/>
        </w:rPr>
        <w:t>” means the budget for the Werewolf Reimbursable Costs between [**] and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set out in </w:t>
      </w:r>
      <w:r>
        <w:rPr>
          <w:rFonts w:ascii="Times New Roman" w:cs="Times New Roman" w:eastAsia="Times New Roman" w:hAnsi="Times New Roman"/>
          <w:sz w:val="22"/>
          <w:szCs w:val="22"/>
          <w:b w:val="1"/>
          <w:bCs w:val="1"/>
          <w:color w:val="auto"/>
        </w:rPr>
        <w:t>Schedule 1.106</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1.107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with respect to any Licensed Product, any and all approvals (including NDAs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supplements and amendments thereto and active INDs), licenses, registrations (except manufacturing establishment registrations) or authorizations of any Regulatory Authority necessary to commercially distribute, sell or market any Licensed Product, including, where applicable, (a) Pricing Approval, (b) pre- and post-approval marketing authorizations, and (c) labeling approvals.</w:t>
      </w:r>
    </w:p>
    <w:p>
      <w:pPr>
        <w:spacing w:after="0" w:line="14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applicable Government Body responsible for granting Regulatory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product, including the FDA and EMA.</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officers, directors, employees, agents, attorneys, accountants, advisors, consultants,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 of the Territory</w:t>
      </w:r>
      <w:r>
        <w:rPr>
          <w:rFonts w:ascii="Times New Roman" w:cs="Times New Roman" w:eastAsia="Times New Roman" w:hAnsi="Times New Roman"/>
          <w:sz w:val="22"/>
          <w:szCs w:val="22"/>
          <w:color w:val="auto"/>
        </w:rPr>
        <w:t>” means the Territory excluding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1.111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means, with respect to each Licensed Product and each country in the Territory, the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beginning on the date of the First Commercial Sale of such Licensed Product in such country, and ending on the latest to occur of</w:t>
      </w:r>
    </w:p>
    <w:p>
      <w:pPr>
        <w:spacing w:after="0" w:line="1" w:lineRule="exact"/>
        <w:rPr>
          <w:sz w:val="20"/>
          <w:szCs w:val="20"/>
          <w:color w:val="auto"/>
        </w:rPr>
      </w:pPr>
    </w:p>
    <w:p>
      <w:pPr>
        <w:jc w:val="both"/>
        <w:ind w:firstLine="8"/>
        <w:spacing w:after="0" w:line="214" w:lineRule="auto"/>
        <w:tabs>
          <w:tab w:leader="none" w:pos="30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last-to-expire Valid Claim of any Licensed Patent that Covers the composition of matter of the Licensed Compound contained in such Licensed Product in such country, (b) the [**] anniversary of the First Commercial Sale of such Licensed Product in such country, and (c) the expiration of regulatory exclusivity (including pursuant to 42 U.S.C. §262(k)(7)(A) if applicable) for such Licensed Product in such country.</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Indication</w:t>
      </w:r>
      <w:r>
        <w:rPr>
          <w:rFonts w:ascii="Times New Roman" w:cs="Times New Roman" w:eastAsia="Times New Roman" w:hAnsi="Times New Roman"/>
          <w:sz w:val="22"/>
          <w:szCs w:val="22"/>
          <w:color w:val="auto"/>
        </w:rPr>
        <w:t>” means, with respect to a particular milestone event (e.g. FDA Approval), any Indication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the First Indication for which such milestone event was achieved by Jazz or its Affiliate or Sublicensee with respect to any Licensed Product.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Taxes</w:t>
      </w:r>
      <w:r>
        <w:rPr>
          <w:rFonts w:ascii="Times New Roman" w:cs="Times New Roman" w:eastAsia="Times New Roman" w:hAnsi="Times New Roman"/>
          <w:sz w:val="22"/>
          <w:szCs w:val="22"/>
          <w:color w:val="auto"/>
        </w:rPr>
        <w:t>” has the meaning set forth in Section 11.3(a).</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Subcontractor Background IP</w:t>
      </w:r>
      <w:r>
        <w:rPr>
          <w:rFonts w:ascii="Times New Roman" w:cs="Times New Roman" w:eastAsia="Times New Roman" w:hAnsi="Times New Roman"/>
          <w:sz w:val="22"/>
          <w:szCs w:val="22"/>
          <w:color w:val="auto"/>
        </w:rPr>
        <w:t>” means any Intellectual Property Rights that (a) are Controlled by a Third-Party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subcontractor prior to its engagement by Werewolf to perform Werewolf Development Activities or independent of such engagement and (b) are necessary to Exploit any Intellectual Property Rights generated by such subcontractor in the course of performing the subcontracted Werewolf Development Activities.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Subcontractor Improvement IP</w:t>
      </w:r>
      <w:r>
        <w:rPr>
          <w:rFonts w:ascii="Times New Roman" w:cs="Times New Roman" w:eastAsia="Times New Roman" w:hAnsi="Times New Roman"/>
          <w:sz w:val="22"/>
          <w:szCs w:val="22"/>
          <w:color w:val="auto"/>
        </w:rPr>
        <w:t>” has the meaning set forth in Section 6.6.</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any Third Party that is sublicensed under the Licensed Technology by Jazz to Exploit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Exploited Licensed Compounds or Licensed Products, excluding any wholesaler, distributor, or other contractor under Section 3.3.</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tax (including any income tax, franchise tax, capital gains tax, estimated tax, gross receipts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value-added tax, surtax, excise tax, ad valorem tax, transfer tax, stamp tax, sales tax, use tax, property tax, business tax, occupation tax, inventory tax, occupancy tax, withholding tax or payroll tax), levy, assessment, tariff, impost, imposition, toll, duty (including any customs duty), deficiency or fee, and any related charge or amount (including any fine, penalty or interest), that is, has been or may in the future be imposed, assessed or collected by or under the authority of any Governmental Body.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17.1.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1.119  “Territory” </w:t>
      </w:r>
      <w:r>
        <w:rPr>
          <w:rFonts w:ascii="Times New Roman" w:cs="Times New Roman" w:eastAsia="Times New Roman" w:hAnsi="Times New Roman"/>
          <w:sz w:val="22"/>
          <w:szCs w:val="22"/>
          <w:color w:val="auto"/>
        </w:rPr>
        <w:t>means worldwide.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1.120 “Third Indication” </w:t>
      </w:r>
      <w:r>
        <w:rPr>
          <w:rFonts w:ascii="Times New Roman" w:cs="Times New Roman" w:eastAsia="Times New Roman" w:hAnsi="Times New Roman"/>
          <w:sz w:val="22"/>
          <w:szCs w:val="22"/>
          <w:color w:val="auto"/>
        </w:rPr>
        <w:t>means, with respect to a particular milestone event (e.g. FDA Approval), any Indication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the First Indication or the Second Indication for which such milestone event was achieved by Jazz or its Affiliate or Sublicensee with respect to any Licensed Product.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Jazz or Werewolf or an Affiliate of either Jazz or Werewolf.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has the meaning set forth in Section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the United States of America, including its territories and possessions.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either: (a) a claim of a pending Patent application that has not been pending for more than</w:t>
      </w:r>
    </w:p>
    <w:p>
      <w:pPr>
        <w:jc w:val="both"/>
        <w:ind w:firstLine="8"/>
        <w:spacing w:after="0" w:line="214" w:lineRule="auto"/>
        <w:tabs>
          <w:tab w:leader="none" w:pos="42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relevant application date for said application, which claim was filed and is being prosecuted in good faith and has not been abandoned or finally disallowed without the possibility of appeal or re-filing of the application; or (b) a claim of any issued and unexpired Patent for which the validity, enforceability, or patentability has not been affected by any of the following:</w:t>
      </w:r>
    </w:p>
    <w:p>
      <w:pPr>
        <w:spacing w:after="0" w:line="2" w:lineRule="exact"/>
        <w:rPr>
          <w:rFonts w:ascii="Times New Roman" w:cs="Times New Roman" w:eastAsia="Times New Roman" w:hAnsi="Times New Roman"/>
          <w:sz w:val="21"/>
          <w:szCs w:val="21"/>
          <w:color w:val="auto"/>
        </w:rPr>
      </w:pPr>
    </w:p>
    <w:p>
      <w:pPr>
        <w:jc w:val="both"/>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irretrievable lapse, cancellation, abandonment, revocation, dedication to the public, or disclaimer; or (y) a holding, finding, or decision of invalidity, unenforceability, or non-patentability by a court, governmental agency, national or regional patent office, or other appropriate body that has competent jurisdiction without the possibility of appeal. A claim that was pending for more than [**] after the relevant application date for said application and that subsequently issues in a granted Patent shall, subject to this Section 1.124(b), be considered a Valid Claim as of such subsequent issuance date, [**].</w:t>
      </w:r>
    </w:p>
    <w:p>
      <w:pPr>
        <w:spacing w:after="0" w:line="15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Background IP</w:t>
      </w:r>
      <w:r>
        <w:rPr>
          <w:rFonts w:ascii="Times New Roman" w:cs="Times New Roman" w:eastAsia="Times New Roman" w:hAnsi="Times New Roman"/>
          <w:sz w:val="22"/>
          <w:szCs w:val="22"/>
          <w:color w:val="auto"/>
        </w:rPr>
        <w:t>” means the Werewolf Background Know-How and the Werewolf Background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1.126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Werewolf Background Know-How</w:t>
      </w:r>
      <w:r>
        <w:rPr>
          <w:rFonts w:ascii="Times New Roman" w:cs="Times New Roman" w:eastAsia="Times New Roman" w:hAnsi="Times New Roman"/>
          <w:sz w:val="21"/>
          <w:szCs w:val="21"/>
          <w:color w:val="auto"/>
        </w:rPr>
        <w:t>” means any and all Know-How Controlled by Werewolf or any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Affiliates (a) on the Effective Date (except to the extent that such Know-How is Jazz Development Know-How pursuant to Section 1.71(a)), or (b) during the Term that is developed or invented through efforts outside of this Agreement, in each case (a) and (b), that is necessary or reasonably useful to Exploit Licensed Compounds or Licensed Products. The Werewolf Background Know-How includes all Know-How listed on </w:t>
      </w:r>
      <w:r>
        <w:rPr>
          <w:rFonts w:ascii="Times New Roman" w:cs="Times New Roman" w:eastAsia="Times New Roman" w:hAnsi="Times New Roman"/>
          <w:sz w:val="21"/>
          <w:szCs w:val="21"/>
          <w:b w:val="1"/>
          <w:bCs w:val="1"/>
          <w:color w:val="auto"/>
        </w:rPr>
        <w:t>Schedule 1.125.</w:t>
      </w:r>
      <w:r>
        <w:rPr>
          <w:rFonts w:ascii="Times New Roman" w:cs="Times New Roman" w:eastAsia="Times New Roman" w:hAnsi="Times New Roman"/>
          <w:sz w:val="21"/>
          <w:szCs w:val="21"/>
          <w:color w:val="auto"/>
        </w:rPr>
        <w:t xml:space="preserve"> For clarity, and subject to the foregoing, the Werewolf Background Know-How does not include any Know-How Controlled by Werewolf or any of its Affiliates that (i) is solely related to Werewolf’s INDUKINE technology, (ii) was or is not used by Werewolf or any of its Affiliates with respect to the Initial Lead Molecule or in the course of performing Werewolf Development Activities and (iii) is not necessary or reasonably useful for the subsequent research, development, manufacture or commercialization of any Licensed Compound or Licensed Product.</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Background Patents</w:t>
      </w:r>
      <w:r>
        <w:rPr>
          <w:rFonts w:ascii="Times New Roman" w:cs="Times New Roman" w:eastAsia="Times New Roman" w:hAnsi="Times New Roman"/>
          <w:sz w:val="22"/>
          <w:szCs w:val="22"/>
          <w:color w:val="auto"/>
        </w:rPr>
        <w:t>” means (a) the Patents set forth in</w:t>
      </w:r>
      <w:r>
        <w:rPr>
          <w:rFonts w:ascii="Times New Roman" w:cs="Times New Roman" w:eastAsia="Times New Roman" w:hAnsi="Times New Roman"/>
          <w:sz w:val="22"/>
          <w:szCs w:val="22"/>
          <w:b w:val="1"/>
          <w:bCs w:val="1"/>
          <w:color w:val="auto"/>
        </w:rPr>
        <w:t xml:space="preserve"> Schedule 1.126</w:t>
      </w:r>
      <w:r>
        <w:rPr>
          <w:rFonts w:ascii="Times New Roman" w:cs="Times New Roman" w:eastAsia="Times New Roman" w:hAnsi="Times New Roman"/>
          <w:sz w:val="22"/>
          <w:szCs w:val="22"/>
          <w:color w:val="auto"/>
        </w:rPr>
        <w:t>; and (b) any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Werewolf and/or any of its Affiliates (i) as of the Effective Date, or (ii) during the Term that are invented through efforts outside of this Agreement, in each case (i) and (ii) that Cover any Werewolf Background Know-How or the composition of matter, manufacture, method of use, formulation or other use of any Licensed Compound or Licensed Product or any component thereof.</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1.128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Werewolf Development IP</w:t>
      </w:r>
      <w:r>
        <w:rPr>
          <w:rFonts w:ascii="Times New Roman" w:cs="Times New Roman" w:eastAsia="Times New Roman" w:hAnsi="Times New Roman"/>
          <w:sz w:val="21"/>
          <w:szCs w:val="21"/>
          <w:color w:val="auto"/>
        </w:rPr>
        <w:t>” means the Werewolf Development Patents and Werewolf Development Know-How.</w:t>
      </w:r>
    </w:p>
    <w:p>
      <w:pPr>
        <w:spacing w:after="0" w:line="19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Development Know-How</w:t>
      </w:r>
      <w:r>
        <w:rPr>
          <w:rFonts w:ascii="Times New Roman" w:cs="Times New Roman" w:eastAsia="Times New Roman" w:hAnsi="Times New Roman"/>
          <w:sz w:val="22"/>
          <w:szCs w:val="22"/>
          <w:color w:val="auto"/>
        </w:rPr>
        <w:t>” means any and all Know-How that (a) is developed or invented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 and the Effective Date, by or on behalf of Werewolf or its Affiliates in the course of performing Development activities with respect to the Initial Lead Molecule, or (ii) during the Term, by or on behalf of Werewolf or its Affiliates in the course of performing the Werewolf Development Activities and (b)(i) [**], or (ii)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Development Patents</w:t>
      </w:r>
      <w:r>
        <w:rPr>
          <w:rFonts w:ascii="Times New Roman" w:cs="Times New Roman" w:eastAsia="Times New Roman" w:hAnsi="Times New Roman"/>
          <w:sz w:val="22"/>
          <w:szCs w:val="22"/>
          <w:color w:val="auto"/>
        </w:rPr>
        <w:t>” means any and all Patents Controlled by Werewolf after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Cover any Werewolf Development Know-How.</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Development Activities</w:t>
      </w:r>
      <w:r>
        <w:rPr>
          <w:rFonts w:ascii="Times New Roman" w:cs="Times New Roman" w:eastAsia="Times New Roman" w:hAnsi="Times New Roman"/>
          <w:sz w:val="22"/>
          <w:szCs w:val="22"/>
          <w:color w:val="auto"/>
        </w:rPr>
        <w:t>” has the meaning set forth in Section 6.1.</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In-License</w:t>
      </w:r>
      <w:r>
        <w:rPr>
          <w:rFonts w:ascii="Times New Roman" w:cs="Times New Roman" w:eastAsia="Times New Roman" w:hAnsi="Times New Roman"/>
          <w:sz w:val="22"/>
          <w:szCs w:val="22"/>
          <w:color w:val="auto"/>
        </w:rPr>
        <w:t>” means any agreement existing on the Effective Date or which comes into effect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pursuant to which Werewolf or any of its Affiliates are granted rights which form part of the Licensed Technology.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Indemnitees</w:t>
      </w:r>
      <w:r>
        <w:rPr>
          <w:rFonts w:ascii="Times New Roman" w:cs="Times New Roman" w:eastAsia="Times New Roman" w:hAnsi="Times New Roman"/>
          <w:sz w:val="22"/>
          <w:szCs w:val="22"/>
          <w:color w:val="auto"/>
        </w:rPr>
        <w:t>” means the following Persons: (a) Werewolf; (b) Werewolf’s current and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(c) the respective Representatives of the Persons referred to in clauses (a) and (b) above; and (d) the respective successors and permitted assigns of the Persons referred to in clauses (a), (b) and (c) above.</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 Reimbursable Costs</w:t>
      </w:r>
      <w:r>
        <w:rPr>
          <w:rFonts w:ascii="Times New Roman" w:cs="Times New Roman" w:eastAsia="Times New Roman" w:hAnsi="Times New Roman"/>
          <w:sz w:val="22"/>
          <w:szCs w:val="22"/>
          <w:color w:val="auto"/>
        </w:rPr>
        <w:t>” means (a) all external pass-through costs and FTE Costs reasonably actually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Werewolf between [**] and the Effective Date which arose directly and specifically from the performance by Werewolf of Development activities with respect to the Initial Lead Molecule, without in the case of pass-through costs, any handling fee, administration fee or other form of mark-up, provided that such costs do not exceed the Proposal Budget, and (b) all external pass-through costs and FTE Costs reasonably actually incurred by Werewolf during the Term which arose directly and specifically from the performance by Werewolf of Werewolf Development Activities in accordance with a Development Plan, without in the case of pass-through costs, any handling fee, administration fee or other form of mark-up, provided that such costs do not exceed the Development Budget for such activities set out in the applicable Development Plan.</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Werewolf’s INDUKINE Technology</w:t>
      </w:r>
      <w:r>
        <w:rPr>
          <w:rFonts w:ascii="Times New Roman" w:cs="Times New Roman" w:eastAsia="Times New Roman" w:hAnsi="Times New Roman"/>
          <w:sz w:val="22"/>
          <w:szCs w:val="22"/>
          <w:color w:val="auto"/>
        </w:rPr>
        <w:t>” means Werewolf’s technology for designing, optimizing and engineering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conditionally activated immunomodulators to deliver cytokines that have full biological potency, by integrating specialized cytokine domains, protease-cleavable linkers, cytokine blocking domains (that can be steric blockers or specific blockers) and optionally half-life extension domains into a molecule that is administered systemically, but activated in the tissue microenvironment with a goal of generating a potent immune response while minimizing toxicity.</w:t>
      </w:r>
    </w:p>
    <w:p>
      <w:pPr>
        <w:spacing w:after="0" w:line="14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Governance</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2.1 Joint Steering Committee</w:t>
      </w:r>
      <w:r>
        <w:rPr>
          <w:rFonts w:ascii="Times New Roman" w:cs="Times New Roman" w:eastAsia="Times New Roman" w:hAnsi="Times New Roman"/>
          <w:sz w:val="22"/>
          <w:szCs w:val="22"/>
          <w:color w:val="auto"/>
        </w:rPr>
        <w:t>. Within [**] after the Effective Date, or as mutually agreed to by the Parties,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shall establish a joint steering committee (the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2.2 Specific Responsibilities of the JSC</w:t>
      </w:r>
      <w:r>
        <w:rPr>
          <w:rFonts w:ascii="Times New Roman" w:cs="Times New Roman" w:eastAsia="Times New Roman" w:hAnsi="Times New Roman"/>
          <w:sz w:val="22"/>
          <w:szCs w:val="22"/>
          <w:color w:val="auto"/>
        </w:rPr>
        <w:t>. The JSC shall oversee the Werewolf Development Activities and serve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information sharing body with respect to Jazz Development Activities. Without limiting the foregoing, the JSC shall:</w:t>
      </w:r>
    </w:p>
    <w:p>
      <w:pPr>
        <w:spacing w:after="0" w:line="150" w:lineRule="exact"/>
        <w:rPr>
          <w:sz w:val="20"/>
          <w:szCs w:val="20"/>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foster a collaborative relationship between the Parties;</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3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discuss, and approve each Development Plan (other than the Initial Development Plan) and the corresponding Development Budget, in accordance with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discuss, and approve all Plan Revisions, including to the Initial Development Plan;</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oversee the conduct of each Development Plan;</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oversee the manufacturing technology transfer process set out in Section 8.7;</w:t>
      </w:r>
    </w:p>
    <w:p>
      <w:pPr>
        <w:spacing w:after="0" w:line="179"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and discuss the results of all work conducted under any Development Plan;</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and oversee the process for the ongoing transfer of Licensed Know-How to Jazz;</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and discuss the Jazz Development Plan, and any proposed annual revisions or updates;</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 and discuss the material results of Jazz Development Activities;</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4"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a Patent Working Group to review and discuss the prosecution strategy for Product Patents, as set forth more fully in Section 13.1;</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an as-needed basis, establish subcommittees to perform specific duties of the JSC, direct each such subcommittee to perform the functions for which it is established, and oversee each subcommittee, including resolution of disputes raised to the JSC by any subcommittee; and</w:t>
      </w:r>
    </w:p>
    <w:p>
      <w:pPr>
        <w:spacing w:after="0" w:line="152"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32"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perform such other functions as appropriate to further the purposes of the performance of any Development Plan, as expressly set forth in this Agreement or allocated to it by the Parties’ written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JSC Membership and Meetings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6" w:lineRule="auto"/>
        <w:tabs>
          <w:tab w:leader="none" w:pos="1939"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JSC Representatives</w:t>
      </w:r>
      <w:r>
        <w:rPr>
          <w:rFonts w:ascii="Times New Roman" w:cs="Times New Roman" w:eastAsia="Times New Roman" w:hAnsi="Times New Roman"/>
          <w:sz w:val="22"/>
          <w:szCs w:val="22"/>
          <w:color w:val="auto"/>
        </w:rPr>
        <w:t>. The JSC shall consist of [**] representatives from each Party. Each JSC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 shall have appropriate knowledge and expertise and sufficient seniority within the applicable Party to make decisions arising within the scope of the JSC’s responsibilities. Each Party may replace its representatives on the JSC on written notice to the other Party. [**] shall appoint the chairperson of the JSC. The chairperson shall prepare and circulate agendas to JSC members at least [**] before each JSC meeting and shall direct the preparation of reasonably detailed minutes for each JSC meeting, which shall be circulated to JSC members for review and approval within [**] after such meeting.</w:t>
      </w:r>
    </w:p>
    <w:p>
      <w:pPr>
        <w:spacing w:after="0" w:line="145"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8"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Meetings</w:t>
      </w:r>
      <w:r>
        <w:rPr>
          <w:rFonts w:ascii="Times New Roman" w:cs="Times New Roman" w:eastAsia="Times New Roman" w:hAnsi="Times New Roman"/>
          <w:sz w:val="22"/>
          <w:szCs w:val="22"/>
          <w:color w:val="auto"/>
        </w:rPr>
        <w:t>. The JSC shall hold meetings at such times as it elects to do so, but in no event less frequently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 by telephone or video conference, unless otherwise agreed by the Parties. The first JSC meeting shall be held within</w:t>
      </w:r>
    </w:p>
    <w:p>
      <w:pPr>
        <w:jc w:val="both"/>
        <w:ind w:firstLine="8"/>
        <w:spacing w:after="0" w:line="218" w:lineRule="auto"/>
        <w:tabs>
          <w:tab w:leader="none" w:pos="42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Effective Date. In-person meetings, if any, will be held at locations agreed by the Parties. If agreement cannot be reached then the Parties shall alternate the location of such in-person meetings, beginning with a location chosen by [**]. Each Party shall be responsible for all of its own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participating in any JSC meeting. No action taken at any meeting of the JSC shall be effective unless at least one (1) representative of each Party is participating. In addition, either Party may request that a special </w:t>
      </w:r>
      <w:r>
        <w:rPr>
          <w:rFonts w:ascii="Times New Roman" w:cs="Times New Roman" w:eastAsia="Times New Roman" w:hAnsi="Times New Roman"/>
          <w:sz w:val="22"/>
          <w:szCs w:val="22"/>
          <w:i w:val="1"/>
          <w:iCs w:val="1"/>
          <w:color w:val="auto"/>
        </w:rPr>
        <w:t>ad hoc</w:t>
      </w:r>
      <w:r>
        <w:rPr>
          <w:rFonts w:ascii="Times New Roman" w:cs="Times New Roman" w:eastAsia="Times New Roman" w:hAnsi="Times New Roman"/>
          <w:sz w:val="22"/>
          <w:szCs w:val="22"/>
          <w:color w:val="auto"/>
        </w:rPr>
        <w:t xml:space="preserve"> meeting of the JSC be convened for the purpose of reviewing or making decisions pertaining to time-sensitive subject-matter, at such time as may be mutually agreed by the Parties.</w:t>
      </w:r>
    </w:p>
    <w:p>
      <w:pPr>
        <w:spacing w:after="0" w:line="148" w:lineRule="exact"/>
        <w:rPr>
          <w:sz w:val="20"/>
          <w:szCs w:val="20"/>
          <w:color w:val="auto"/>
        </w:rPr>
      </w:pPr>
    </w:p>
    <w:p>
      <w:pPr>
        <w:jc w:val="both"/>
        <w:ind w:firstLine="1304"/>
        <w:spacing w:after="0" w:line="216" w:lineRule="auto"/>
        <w:tabs>
          <w:tab w:leader="none" w:pos="1941"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Non-Member Attendance</w:t>
      </w:r>
      <w:r>
        <w:rPr>
          <w:rFonts w:ascii="Times New Roman" w:cs="Times New Roman" w:eastAsia="Times New Roman" w:hAnsi="Times New Roman"/>
          <w:sz w:val="22"/>
          <w:szCs w:val="22"/>
          <w:color w:val="auto"/>
        </w:rPr>
        <w:t>. Each Party may from time to time invite a reasonable number of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its JSC representatives, to attend the JSC meetings in a non-voting capacity; provided that if either Party intends to have any Third Party (including any consultant) attend such a meeting, such Party shall provide reasonable prior written notice to the other Party and obtain the other Party’s approval for such Third Party to attend such meeting, which approval shall not be unreasonably withheld, conditioned, or delayed. Such Party shall ensure that such Third Party is bound by written confidentiality obligations consistent with the terms of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Decision-Making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6" w:lineRule="auto"/>
        <w:tabs>
          <w:tab w:leader="none" w:pos="193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During the performance of any Development Plan, the Parties shall use good faith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reach all JSC decisions by consensus, with each Party’s representatives collectively having one (1) vote. If after reasonable discussion and good faith consideration of each Party’s view on a particular matter, the representatives of the Parties cannot reach an agreement as to such matter, then either Party at any time may refer such issue to the Executive Sponsors for resolution, who shall confer in good faith. Any final decision mutually agreed by the Executive Sponsors shall be conclusive and binding on the Parties.</w:t>
      </w:r>
    </w:p>
    <w:p>
      <w:pPr>
        <w:spacing w:after="0" w:line="145"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Decision-Making Authority</w:t>
      </w:r>
      <w:r>
        <w:rPr>
          <w:rFonts w:ascii="Times New Roman" w:cs="Times New Roman" w:eastAsia="Times New Roman" w:hAnsi="Times New Roman"/>
          <w:sz w:val="22"/>
          <w:szCs w:val="22"/>
          <w:color w:val="auto"/>
        </w:rPr>
        <w:t>. If the Executive Sponsors cannot reach consensus on an issue within [**]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issue first being referred to them, then:</w:t>
      </w:r>
    </w:p>
    <w:p>
      <w:pPr>
        <w:spacing w:after="0" w:line="150"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Werewolf shall have final decision-making authority on matters relating solely to the [**]; and</w:t>
      </w:r>
    </w:p>
    <w:p>
      <w:pPr>
        <w:spacing w:after="0" w:line="179"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6"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shall have final decision-making authority on all other matters within the scope of the JSC’s authority, including (1) [**], and (2) [**]. Werewolf acknowledge and agrees that it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2.5 Limitations on Authority</w:t>
      </w:r>
      <w:r>
        <w:rPr>
          <w:rFonts w:ascii="Times New Roman" w:cs="Times New Roman" w:eastAsia="Times New Roman" w:hAnsi="Times New Roman"/>
          <w:sz w:val="22"/>
          <w:szCs w:val="22"/>
          <w:color w:val="auto"/>
        </w:rPr>
        <w:t>. The JSC shall have only such powers as are expressly assigned to it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such powers shall be subject to the terms and conditions of this Agreement. Without limiting the generality of the foregoing, the JSC shall not have the power to amend, interpret, or waive compliance with this Agreement, and no JSC decision may be in contravention of any terms and conditions of this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2.6 Discontinuation of the JSC</w:t>
      </w:r>
      <w:r>
        <w:rPr>
          <w:rFonts w:ascii="Times New Roman" w:cs="Times New Roman" w:eastAsia="Times New Roman" w:hAnsi="Times New Roman"/>
          <w:sz w:val="22"/>
          <w:szCs w:val="22"/>
          <w:color w:val="auto"/>
        </w:rPr>
        <w:t>. The activities to be performed by the JSC shall solely relate to governance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are not intended to be or involve the delivery of services. The JSC shall continue to exist until the first to occur of: (a) the Parties mutually agree in writing to disband the JSC or (b) [**]. Upon the first to occur of the foregoing (a) or (b), the Parties shall schedule a final JSC meeting to conclude the business of the JSC. At the conclusion of such final JSC meeting the JSC shall automatically dissolve and, thereafter, each Party shall designate, to the extent necessary, a contact person for the exchange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information under this Agreement or such exchange of information shall be made through the designated strategic partnership managers or Alliance Managers, and decisions of the JSC, if any, shall be decisions as between the Parties, subject to the other terms and conditions of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2.7 Working Group</w:t>
      </w:r>
      <w:r>
        <w:rPr>
          <w:rFonts w:ascii="Times New Roman" w:cs="Times New Roman" w:eastAsia="Times New Roman" w:hAnsi="Times New Roman"/>
          <w:sz w:val="21"/>
          <w:szCs w:val="21"/>
          <w:color w:val="auto"/>
        </w:rPr>
        <w:t>. The JSC shall establish and delegate duties to a working group (“</w:t>
      </w:r>
      <w:r>
        <w:rPr>
          <w:rFonts w:ascii="Times New Roman" w:cs="Times New Roman" w:eastAsia="Times New Roman" w:hAnsi="Times New Roman"/>
          <w:sz w:val="21"/>
          <w:szCs w:val="21"/>
          <w:b w:val="1"/>
          <w:bCs w:val="1"/>
          <w:color w:val="auto"/>
        </w:rPr>
        <w:t>Working Group</w:t>
      </w:r>
      <w:r>
        <w:rPr>
          <w:rFonts w:ascii="Times New Roman" w:cs="Times New Roman" w:eastAsia="Times New Roman" w:hAnsi="Times New Roman"/>
          <w:sz w:val="21"/>
          <w:szCs w:val="21"/>
          <w:color w:val="auto"/>
        </w:rPr>
        <w:t>”) to oversee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Werewolf Development Activities. Unless otherwise agreed, all communications between Jazz and Werewolf regarding the conduct of the Werewolf Development Activities shall be addressed between the Parties via the Working Group. Meetings of the Working Group shall take place as provided for in </w:t>
      </w:r>
      <w:r>
        <w:rPr>
          <w:rFonts w:ascii="Times New Roman" w:cs="Times New Roman" w:eastAsia="Times New Roman" w:hAnsi="Times New Roman"/>
          <w:sz w:val="21"/>
          <w:szCs w:val="21"/>
          <w:b w:val="1"/>
          <w:bCs w:val="1"/>
          <w:color w:val="auto"/>
        </w:rPr>
        <w:t>Schedule 2.7</w:t>
      </w:r>
      <w:r>
        <w:rPr>
          <w:rFonts w:ascii="Times New Roman" w:cs="Times New Roman" w:eastAsia="Times New Roman" w:hAnsi="Times New Roman"/>
          <w:sz w:val="21"/>
          <w:szCs w:val="21"/>
          <w:color w:val="auto"/>
        </w:rPr>
        <w:t xml:space="preserve">. The Working Group constitution, representation and frequency of meetings shall be determined in accordance with </w:t>
      </w:r>
      <w:r>
        <w:rPr>
          <w:rFonts w:ascii="Times New Roman" w:cs="Times New Roman" w:eastAsia="Times New Roman" w:hAnsi="Times New Roman"/>
          <w:sz w:val="21"/>
          <w:szCs w:val="21"/>
          <w:b w:val="1"/>
          <w:bCs w:val="1"/>
          <w:color w:val="auto"/>
        </w:rPr>
        <w:t>Schedule 2.7</w:t>
      </w:r>
      <w:r>
        <w:rPr>
          <w:rFonts w:ascii="Times New Roman" w:cs="Times New Roman" w:eastAsia="Times New Roman" w:hAnsi="Times New Roman"/>
          <w:sz w:val="21"/>
          <w:szCs w:val="21"/>
          <w:color w:val="auto"/>
        </w:rPr>
        <w:t xml:space="preserve"> unless the Parties agree otherwise. Working Group meetings will be held by means of telecommunications or video conference as provided for in </w:t>
      </w:r>
      <w:r>
        <w:rPr>
          <w:rFonts w:ascii="Times New Roman" w:cs="Times New Roman" w:eastAsia="Times New Roman" w:hAnsi="Times New Roman"/>
          <w:sz w:val="21"/>
          <w:szCs w:val="21"/>
          <w:b w:val="1"/>
          <w:bCs w:val="1"/>
          <w:color w:val="auto"/>
        </w:rPr>
        <w:t>Schedule 2.7</w:t>
      </w:r>
      <w:r>
        <w:rPr>
          <w:rFonts w:ascii="Times New Roman" w:cs="Times New Roman" w:eastAsia="Times New Roman" w:hAnsi="Times New Roman"/>
          <w:sz w:val="21"/>
          <w:szCs w:val="21"/>
          <w:color w:val="auto"/>
        </w:rPr>
        <w:t xml:space="preserve">, or otherwise as the Working Group deems necessary or appropriate. Any decisions of the Working Group shall be made in the manner provided for in </w:t>
      </w:r>
      <w:r>
        <w:rPr>
          <w:rFonts w:ascii="Times New Roman" w:cs="Times New Roman" w:eastAsia="Times New Roman" w:hAnsi="Times New Roman"/>
          <w:sz w:val="21"/>
          <w:szCs w:val="21"/>
          <w:b w:val="1"/>
          <w:bCs w:val="1"/>
          <w:color w:val="auto"/>
        </w:rPr>
        <w:t>Schedule 2.7</w:t>
      </w:r>
      <w:r>
        <w:rPr>
          <w:rFonts w:ascii="Times New Roman" w:cs="Times New Roman" w:eastAsia="Times New Roman" w:hAnsi="Times New Roman"/>
          <w:sz w:val="21"/>
          <w:szCs w:val="21"/>
          <w:color w:val="auto"/>
        </w:rPr>
        <w:t>. Any dispute between the designees of Werewolf and Jazz on a Working Group shall be referred to the JSC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resolution. The Working Group shall be subject to the oversight of and direction from the JSC as set forth in </w:t>
      </w:r>
      <w:r>
        <w:rPr>
          <w:rFonts w:ascii="Times New Roman" w:cs="Times New Roman" w:eastAsia="Times New Roman" w:hAnsi="Times New Roman"/>
          <w:sz w:val="21"/>
          <w:szCs w:val="21"/>
          <w:b w:val="1"/>
          <w:bCs w:val="1"/>
          <w:color w:val="auto"/>
        </w:rPr>
        <w:t>Schedule 2.7</w:t>
      </w:r>
      <w:r>
        <w:rPr>
          <w:rFonts w:ascii="Times New Roman" w:cs="Times New Roman" w:eastAsia="Times New Roman" w:hAnsi="Times New Roman"/>
          <w:sz w:val="21"/>
          <w:szCs w:val="21"/>
          <w:color w:val="auto"/>
        </w:rPr>
        <w:t>, and shall report to the JSC. In no event shall the authority of the Working Group exceed that specified for the JSC.</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2.8 Project Managers</w:t>
      </w:r>
      <w:r>
        <w:rPr>
          <w:rFonts w:ascii="Times New Roman" w:cs="Times New Roman" w:eastAsia="Times New Roman" w:hAnsi="Times New Roman"/>
          <w:sz w:val="22"/>
          <w:szCs w:val="22"/>
          <w:color w:val="auto"/>
        </w:rPr>
        <w:t>. Werewolf and Jazz shall each appoint one of its representatives on the Working Group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oversee contact between the Parties for all matters under this Agreement (each a “</w:t>
      </w:r>
      <w:r>
        <w:rPr>
          <w:rFonts w:ascii="Times New Roman" w:cs="Times New Roman" w:eastAsia="Times New Roman" w:hAnsi="Times New Roman"/>
          <w:sz w:val="22"/>
          <w:szCs w:val="22"/>
          <w:b w:val="1"/>
          <w:bCs w:val="1"/>
          <w:color w:val="auto"/>
        </w:rPr>
        <w:t>Project Manager</w:t>
      </w:r>
      <w:r>
        <w:rPr>
          <w:rFonts w:ascii="Times New Roman" w:cs="Times New Roman" w:eastAsia="Times New Roman" w:hAnsi="Times New Roman"/>
          <w:sz w:val="22"/>
          <w:szCs w:val="22"/>
          <w:color w:val="auto"/>
        </w:rPr>
        <w:t xml:space="preserve">”). The Werewolf Project Manager shall regularly report to Jazz via the Working Group and JSC on the progress and performance of the Werewolf Development Activities, including requesting that the Working Group meet to discuss various aspects of each Development Plan. Without limiting the generality of the foregoing, the Project Manager shall be permitted to call </w:t>
      </w:r>
      <w:r>
        <w:rPr>
          <w:rFonts w:ascii="Times New Roman" w:cs="Times New Roman" w:eastAsia="Times New Roman" w:hAnsi="Times New Roman"/>
          <w:sz w:val="22"/>
          <w:szCs w:val="22"/>
          <w:i w:val="1"/>
          <w:iCs w:val="1"/>
          <w:color w:val="auto"/>
        </w:rPr>
        <w:t>ad hoc</w:t>
      </w:r>
      <w:r>
        <w:rPr>
          <w:rFonts w:ascii="Times New Roman" w:cs="Times New Roman" w:eastAsia="Times New Roman" w:hAnsi="Times New Roman"/>
          <w:sz w:val="22"/>
          <w:szCs w:val="22"/>
          <w:color w:val="auto"/>
        </w:rPr>
        <w:t xml:space="preserve"> meetings of the Working Group to discuss (a) performance or unavailability of a subcontractor, (b) use of replacement or alternative subcontractor, (c) issues with experiment or study design, (d) proposed Plan Revisions in light of the experimental results, and (e) other potential delays against Development Plan timelines. Each Party shall, and shall cause its Project Manager to, use commercially reasonable efforts to respond to any communication from the other Party within [**] after his/her receipt of such communication. Each Party may replace its Project Manager at any time by written notice to the other Party.</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2.9 Alliance Manager</w:t>
      </w:r>
      <w:r>
        <w:rPr>
          <w:rFonts w:ascii="Times New Roman" w:cs="Times New Roman" w:eastAsia="Times New Roman" w:hAnsi="Times New Roman"/>
          <w:sz w:val="22"/>
          <w:szCs w:val="22"/>
          <w:color w:val="auto"/>
        </w:rPr>
        <w:t>. Promptly after the Effective Date, each Party shall appoint an individual who shall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of such Party having appropriate seniority and experience to act as the alliance manager for such Party (the “</w:t>
      </w:r>
      <w:r>
        <w:rPr>
          <w:rFonts w:ascii="Times New Roman" w:cs="Times New Roman" w:eastAsia="Times New Roman" w:hAnsi="Times New Roman"/>
          <w:sz w:val="22"/>
          <w:szCs w:val="22"/>
          <w:b w:val="1"/>
          <w:bCs w:val="1"/>
          <w:color w:val="auto"/>
        </w:rPr>
        <w:t>Alliance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Without limiting the foregoing, each Party’s Alliance Manager shall have greater seniority and experience than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Project Manager. Each Alliance Manager shall be responsible for coordinating and managing business processes and interfacing between the Parties throughout the performance of the Development Plan. Each Alliance Manager shall, in cooperation with the chairperson of the JSC, be responsible for planning and executing each JSC meeting and shall attend JSC meetings as appropriate as non-voting participants. Each Party may replace its Alliance Manager with an alternative representative at any time with prior written notice to the other Party. Any Alliance Manager may designate a substitute to temporarily perform the functions of that Alliance Manager. Each Party shall bear its own costs of its Alliance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   License Grant to Jazz</w:t>
      </w:r>
      <w:r>
        <w:rPr>
          <w:rFonts w:ascii="Times New Roman" w:cs="Times New Roman" w:eastAsia="Times New Roman" w:hAnsi="Times New Roman"/>
          <w:sz w:val="22"/>
          <w:szCs w:val="22"/>
          <w:color w:val="auto"/>
        </w:rPr>
        <w:t>. Subject to the terms and conditions of this Agreement, Werewolf hereby grants to Jazz:</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9"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exclusive (even as to Werewolf and its Affiliates), transferable, sublicensable (through multiple tiers and in accordance with Section 3.2), worldwide license, under the Licensed Patents, solely to Exploit Licensed Compounds and Licensed Products; and</w:t>
      </w:r>
    </w:p>
    <w:p>
      <w:pPr>
        <w:spacing w:after="0" w:line="152"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3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non-exclusive, transferable, sublicensable (through multiple tiers and in accordance with Section 3.2), worldwide license, under the Licensed Know-How, solely to Exploit Licensed Compounds and Licensed Products.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3.2 Sublicensing</w:t>
      </w:r>
      <w:r>
        <w:rPr>
          <w:rFonts w:ascii="Times New Roman" w:cs="Times New Roman" w:eastAsia="Times New Roman" w:hAnsi="Times New Roman"/>
          <w:sz w:val="22"/>
          <w:szCs w:val="22"/>
          <w:color w:val="auto"/>
        </w:rPr>
        <w:t>. Jazz shall have the right to grant written sublicenses under the licenses granted in Section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multiple tiers of sublicenses; provided that each sublicense granted by Jazz pursuant to this Section 3.2 will be subject and subordinate to the terms and conditions of this Agreement. Jazz shall promptly provide [**]. Werewolf shall use commercially reasonable efforts for a period beginning [**] after the Effective Date and ending on the [**] anniversary of the Effective Date, to obtain, from [**]. Werewolf shall promptly notify Jazz upon receiving any such [**] and Jazz’s obligations pursuant to this Section 3.2 to provide [**] shall terminate to the extent that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3.3 Subcontracting by Jazz</w:t>
      </w:r>
      <w:r>
        <w:rPr>
          <w:rFonts w:ascii="Times New Roman" w:cs="Times New Roman" w:eastAsia="Times New Roman" w:hAnsi="Times New Roman"/>
          <w:sz w:val="22"/>
          <w:szCs w:val="22"/>
          <w:color w:val="auto"/>
        </w:rPr>
        <w:t>. Jazz shall have the right to use the services of any Third Parties, including distributors,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Party contract research organizations, or service providers, to perform its Development, manufacturing, and Commercialization activities; provided that Jazz shall remain responsible for such Third Parties’ performance on behalf of Jazz under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License Grant to Werewolf</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39"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hereby grants to Werewolf, a non-exclusive license, with the right to grant sublicenses to Affiliates and subcontractors, under the Licensed Patents and Jazz Background Patents, solely for the limited purpose of conducting the activities assigned to Werewolf under a Development Plan or as otherwise permitted under Section 5.1 and the exception in Section 4.1.</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hereby grants to Werewolf a paid up, non-exclusive license, with the right to grant sublicenses to Affiliates, subcontractors and Werewolf sublicensees, under [**] that is (i) [**], and (ii) [**], solely to the extent [**] but excluding [**].</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3.5 No Implied License; Retained Rights</w:t>
      </w:r>
      <w:r>
        <w:rPr>
          <w:rFonts w:ascii="Times New Roman" w:cs="Times New Roman" w:eastAsia="Times New Roman" w:hAnsi="Times New Roman"/>
          <w:sz w:val="22"/>
          <w:szCs w:val="22"/>
          <w:color w:val="auto"/>
        </w:rPr>
        <w:t>. No right or license under any Intellectual Property Rights is granted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granted by either Party by implication. All rights or licenses are or will be granted only as expressly provided in this Agreement. Notwithstanding the non-exclusive nature of the license set forth in Section 3.1(b), Werewolf and its Affiliates shall not use or practice the Licensed Know-How to, or grant any licenses or other rights under the Licensed Know-How to, Exploit Licensed Compounds or Licensed Products without the prior written consent of Jazz, except for the sole purpose of conducting the activities assigned to Werewolf under a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3.6 Confirmatory Patent License</w:t>
      </w:r>
      <w:r>
        <w:rPr>
          <w:rFonts w:ascii="Times New Roman" w:cs="Times New Roman" w:eastAsia="Times New Roman" w:hAnsi="Times New Roman"/>
          <w:sz w:val="22"/>
          <w:szCs w:val="22"/>
          <w:color w:val="auto"/>
        </w:rPr>
        <w:t>. Werewolf shall, if requested to do so by Jazz and at Jazz’s reasonable expense,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enter into confirmatory license agreements in the form or substantially the form reasonably requested by Jazz for purposes of recording the licenses granted under this Agreement with such patent offices in the Territory as Jazz considers appropriate.</w:t>
      </w:r>
    </w:p>
    <w:p>
      <w:pPr>
        <w:spacing w:after="0" w:line="14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3.7 Third Party Agreements</w:t>
      </w:r>
      <w:r>
        <w:rPr>
          <w:rFonts w:ascii="Times New Roman" w:cs="Times New Roman" w:eastAsia="Times New Roman" w:hAnsi="Times New Roman"/>
          <w:sz w:val="21"/>
          <w:szCs w:val="21"/>
          <w:color w:val="auto"/>
        </w:rPr>
        <w:t>. Except with respect to (a) any Third Party payment that is included in a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Improvement Fee for a New Domain for which Jazz obtained a license pursuant to Section 5.1(c)(ii) and (b) any New Third Party IP Payments owed to the applicable Third Party licensor for any New Third Party IP for which Jazz took a sublicense pursuant to Section 5.1(c)(ii), Werewolf shall be responsible for all payments owed to its Third Party licensors, including with respect to any rights Werewolf has in and to the Licensed Technology and any payments arising under any Werewolf In-License.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Licensed Know-How.</w:t>
      </w:r>
    </w:p>
    <w:p>
      <w:pPr>
        <w:spacing w:after="0" w:line="179" w:lineRule="exact"/>
        <w:rPr>
          <w:sz w:val="20"/>
          <w:szCs w:val="20"/>
          <w:color w:val="auto"/>
        </w:rPr>
      </w:pPr>
    </w:p>
    <w:p>
      <w:pPr>
        <w:jc w:val="both"/>
        <w:ind w:firstLine="1304"/>
        <w:spacing w:after="0" w:line="221" w:lineRule="auto"/>
        <w:tabs>
          <w:tab w:leader="none" w:pos="193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Initial Transfer</w:t>
      </w:r>
      <w:r>
        <w:rPr>
          <w:rFonts w:ascii="Times New Roman" w:cs="Times New Roman" w:eastAsia="Times New Roman" w:hAnsi="Times New Roman"/>
          <w:sz w:val="22"/>
          <w:szCs w:val="22"/>
          <w:color w:val="auto"/>
        </w:rPr>
        <w:t>. Promptly following the Effective Date and in any event no later than [**]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Werewolf shall, and shall use diligent efforts to cause its Affiliates and any contractors to, initiate transfer to Jazz all Licensed Know-How existing as of such date and shall continue to exercise diligent efforts to complete such transfer of Licensed Know-How to Jazz as soon as thereafter reasonably practicable.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8" w:lineRule="auto"/>
        <w:tabs>
          <w:tab w:leader="none" w:pos="1938"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Ongoing Transfer</w:t>
      </w:r>
      <w:r>
        <w:rPr>
          <w:rFonts w:ascii="Times New Roman" w:cs="Times New Roman" w:eastAsia="Times New Roman" w:hAnsi="Times New Roman"/>
          <w:sz w:val="21"/>
          <w:szCs w:val="21"/>
          <w:color w:val="auto"/>
        </w:rPr>
        <w:t>. From time to time during the Term and in any event no less frequently than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Werewolf shall, and shall use diligent efforts to cause its Affiliates and any contractors, to promptly transfer to Jazz all Licensed Know-How that has not previously been provided to Jazz hereunder, provided that, any manufacturing technology transfer will occur in accordance with Section 8.7. Simultaneously with the submission of any IND Data Package to Jazz in accordance with Section 6.4(a), Werewolf shall provide to Jazz a written report setting out all Licensed Know-How existing at such date.</w:t>
      </w:r>
    </w:p>
    <w:p>
      <w:pPr>
        <w:spacing w:after="0" w:line="148" w:lineRule="exact"/>
        <w:rPr>
          <w:rFonts w:ascii="Times New Roman" w:cs="Times New Roman" w:eastAsia="Times New Roman" w:hAnsi="Times New Roman"/>
          <w:sz w:val="21"/>
          <w:szCs w:val="21"/>
          <w:b w:val="1"/>
          <w:bCs w:val="1"/>
          <w:color w:val="auto"/>
        </w:rPr>
      </w:pPr>
    </w:p>
    <w:p>
      <w:pPr>
        <w:jc w:val="both"/>
        <w:ind w:firstLine="1304"/>
        <w:spacing w:after="0" w:line="211" w:lineRule="auto"/>
        <w:tabs>
          <w:tab w:leader="none" w:pos="1941"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The Parties will cooperate and reasonably agree upon formats and procedures to facilitate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orderly and efficient exchange of the Licensed Know-How in accordance with this Section 3.8. Without limiting the foregoing, Werewolf shall provide all such items in electronic form to the extent the same exists in electronic form and shall provide copies and an opportunity to inspect (and copy) original versions for all other materials comprising such Licensed Know-How (including for example, original patient report forms and other original source data). It is understood all Licensed Know-How shall be made available to Jazz in the language in which it was created together with all existing translations and summaries thereof. Upon request by Jazz, Werewolf shall, and shall use diligent efforts to cause its Affiliates and any contractors to, reasonably cooperate with and assist Jazz as may be necessary or desirable in order to allow Jazz to understand the Licensed Know-How and to utilize the Licensed Know-How for the purposes contemplated in this Agreement and Werewolf shall promptly provide responses to Jazz’s inquiries for clarification or further information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Exclusivity.</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During the Term, except for the [**], Werewolf shall not, and shall ensure that its Affiliates shall not, whether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own or with or through any Third Party (including through licensing to or from any Third Party), [**].</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Subject to Section 19.1, from the Effective Date until the earlier of (a) the [**] anniversary of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 [**], shall not, and shall ensure that its Affiliates shall not, whether on their own or with or through any Third Party (including through licensing to or from any Third Party), [**] (an “</w:t>
      </w:r>
      <w:r>
        <w:rPr>
          <w:rFonts w:ascii="Times New Roman" w:cs="Times New Roman" w:eastAsia="Times New Roman" w:hAnsi="Times New Roman"/>
          <w:sz w:val="22"/>
          <w:szCs w:val="22"/>
          <w:b w:val="1"/>
          <w:bCs w:val="1"/>
          <w:color w:val="auto"/>
        </w:rPr>
        <w:t>Equivalent Product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right="7820" w:hanging="652"/>
        <w:spacing w:after="0" w:line="409" w:lineRule="auto"/>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Licensed Compound Creation 5.1</w:t>
      </w:r>
    </w:p>
    <w:p>
      <w:pPr>
        <w:spacing w:after="0" w:line="5"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39"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at any time during the Term, Werewolf or its Affiliates identify, develop, synthesize, create, discover, generate or invent any isolated recombinant polypeptide that falls within the criteria set out in Section 1.79(b), Werewolf shall promptly notify Jazz of all relevant results, data and other details pertaining to such polypeptide and shall promptly and fully respond to any queries or requests for further information that Jazz may make, and such isolated recombinant polypeptide shall automatically be included as a Licensed Compound from the date such isolated recombinant polypeptide was first identified, developed, created, generated or discovered.</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08" w:lineRule="auto"/>
        <w:tabs>
          <w:tab w:leader="none" w:pos="1938"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at any time during the Term, Werewolf or its Affiliates identify, develop, synthesize, create, discover, generate or invent any [**] domain or domain described in Section 1.79(b)(i)-(iii) (each such [**] domain or other domain, a “</w:t>
      </w:r>
      <w:r>
        <w:rPr>
          <w:rFonts w:ascii="Times New Roman" w:cs="Times New Roman" w:eastAsia="Times New Roman" w:hAnsi="Times New Roman"/>
          <w:sz w:val="22"/>
          <w:szCs w:val="22"/>
          <w:b w:val="1"/>
          <w:bCs w:val="1"/>
          <w:color w:val="auto"/>
        </w:rPr>
        <w:t>New Domain</w:t>
      </w:r>
      <w:r>
        <w:rPr>
          <w:rFonts w:ascii="Times New Roman" w:cs="Times New Roman" w:eastAsia="Times New Roman" w:hAnsi="Times New Roman"/>
          <w:sz w:val="22"/>
          <w:szCs w:val="22"/>
          <w:color w:val="auto"/>
        </w:rPr>
        <w:t xml:space="preserve">”), then at the next JSC meeting after [**], Werewolf shall disclose to the JSC the [**], including a summary of all relevant results, data and other details related to the New Domain and any Licensed Product Improvement Test Data generated by or on behalf of Werewolf or its Affiliates in their discretion with respect to such New Domain, and Werewolf shall promptly and fully respond to any queries or reasonable requests for further information that Jazz may make. If no Licensed Product Improvement Test Data were included in Werewolf’s disclosure to the JSC with respect to a particular New Domain or if the Licensed Product Improvement Test Data so included were insufficient to [**], then Jazz shall have the right, in its discretion and upon notice to Werewolf, to request Werewolf to generate Licensed Product Improvement Test Data for such New Domain [**], in which case Werewolf shall promptly accept or decline such request in writing. If Werewolf accepts such request, it will use diligent efforts to promptly generate and disclose to Jazz such Licensed Product Improvement Test Data. If Werewolf declines Jazz’s request to generate the Licensed Product Improvement Test Data for such New Domain, Jazz may generate such Licensed Product Improvement Test Data for such New Domain at Jazz’s sole expense and (A) Werewolf shall provide Jazz with all Know-How Controlled by Werewolf or its Affiliates that is necessary or would have been used by Werewolf to facilitate such generation and (B) Jazz will disclose such Licensed Product Improvement Test Data to Werewolf promptly after its generation. [**]. In the event that Werewolf or its Affiliates [**], Jazz shall upon request from Werewolf [**], </w:t>
      </w:r>
      <w:r>
        <w:rPr>
          <w:rFonts w:ascii="Times New Roman" w:cs="Times New Roman" w:eastAsia="Times New Roman" w:hAnsi="Times New Roman"/>
          <w:sz w:val="19"/>
          <w:szCs w:val="19"/>
          <w:color w:val="auto"/>
        </w:rPr>
        <w:t>provided</w:t>
      </w:r>
      <w:r>
        <w:rPr>
          <w:rFonts w:ascii="Times New Roman" w:cs="Times New Roman" w:eastAsia="Times New Roman" w:hAnsi="Times New Roman"/>
          <w:sz w:val="22"/>
          <w:szCs w:val="22"/>
          <w:color w:val="auto"/>
        </w:rPr>
        <w:t xml:space="preserve"> however, pursuant to section [**], Jazz or its Affiliates shall have the right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jc w:val="both"/>
        <w:ind w:firstLine="1304"/>
        <w:spacing w:after="0" w:line="225" w:lineRule="auto"/>
        <w:tabs>
          <w:tab w:leader="none" w:pos="1941"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either Party reasonably believes based on the Licensed Product Improvement Test Data for a particular New Domain that such New Domain could [**], then such Party shall provide notice to the other Party of such belief and if the identification, development, synthesis, creation, discovery, generation or invention of such New Domain first occurred:</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0"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or before the [**] anniversary of the Effective Date, such New Domain shall be deemed to automatically have been licensed to Jazz, for use in Licensed Compounds, from the date such New Domain was first identified, developed, created, generated or discovered; or</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07" w:lineRule="auto"/>
        <w:tabs>
          <w:tab w:leader="none" w:pos="2586"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after the [**] anniversary of the Effective Date, such New Domain shall be licensed to Jazz for use in Licensed Compounds in accordance with this Section 5.1(c)(ii). If Jazz notifies Werewolf of its interest in potentially obtaining a license to such New Domains, Werewolf shall promptly (1) provide an accounting of its costs (including any payments made or owed to Third Parties) for the identification, development, synthesis, creation, discovery, generation or invention of such New Domain, which costs shall include [**] and shall be pro-rated if (A) [**] or (B) [**] (such costs, the “</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Improvement Fee</w:t>
      </w:r>
      <w:r>
        <w:rPr>
          <w:rFonts w:ascii="Times New Roman" w:cs="Times New Roman" w:eastAsia="Times New Roman" w:hAnsi="Times New Roman"/>
          <w:sz w:val="22"/>
          <w:szCs w:val="22"/>
          <w:color w:val="auto"/>
        </w:rPr>
        <w:t>”) and (2) (A) identify in writing any Patents or Know-How that (x) were in-licensed by Werewolf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from a Third Party and not already included in the Werewolf Background IP, (y) are Controlled by Werewolf or its Affiliates, and (z) would be necessary or reasonably useful to Exploit such New Domain as part of a Licensed Compound (such Patents and Know-How, “</w:t>
      </w:r>
      <w:r>
        <w:rPr>
          <w:rFonts w:ascii="Times New Roman" w:cs="Times New Roman" w:eastAsia="Times New Roman" w:hAnsi="Times New Roman"/>
          <w:sz w:val="22"/>
          <w:szCs w:val="22"/>
          <w:b w:val="1"/>
          <w:bCs w:val="1"/>
          <w:color w:val="auto"/>
        </w:rPr>
        <w:t>New Third Party IP</w:t>
      </w:r>
      <w:r>
        <w:rPr>
          <w:rFonts w:ascii="Times New Roman" w:cs="Times New Roman" w:eastAsia="Times New Roman" w:hAnsi="Times New Roman"/>
          <w:sz w:val="22"/>
          <w:szCs w:val="22"/>
          <w:color w:val="auto"/>
        </w:rPr>
        <w:t>”), (B) provide Jazz with a copy of the license agreement between Werewolf or its Affiliate and such Third Party with respect to such New Third Party IP, (C) provide detailed written itemization of all milestones, royalties and other payments that would be owed to such Third Party on account of the Exploitation of such New Domain as part of a Licensed Compound if Jazz were to take a sublicense to such New Third Party IP, which milestones and other payments shall be pro-rated [**] (such itemized milestones, royalties and other payments so summarized, the “</w:t>
      </w:r>
      <w:r>
        <w:rPr>
          <w:rFonts w:ascii="Times New Roman" w:cs="Times New Roman" w:eastAsia="Times New Roman" w:hAnsi="Times New Roman"/>
          <w:sz w:val="22"/>
          <w:szCs w:val="22"/>
          <w:b w:val="1"/>
          <w:bCs w:val="1"/>
          <w:color w:val="auto"/>
        </w:rPr>
        <w:t>New Third Party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Werewolf shall promptly and fully respond to any queries or requests for further information that Jazz may make.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Jazz decides to take a license for such New Domain, it shall deliver a license exercise notice to Werewolf within [**] of its receipt of all information that Werewolf is obligated to provide pursuant to this Section 5.1(c)(ii), which exercise notice shall identify any New Third Party IP that Jazz wishes to obtain a sublicense to in connection therewith. For each license exercise notice delivered by Jazz pursuant to this Section 5.1(c)(ii), Jazz shall make a payment to Werewolf within [**] of receipt of an applicable invoice issued by Werewolf following such notice for the applicable Licensed Product Improvement Fee, the New Domain shall be licensed to Jazz as of the date of payment of the Licensed Product Improvement Fee and the New Third Party IP identified in Jazz’s license exercise notice shall be sublicensed to Jazz (and thereby deemed to be included in the Licensed Technology) as of such date. Thereafter, Jazz shall be solely responsible for any New Third Party IP Payments due to the applicable Third-Party licensor if such New Domain is used by Jazz or its Affiliates or Sublicensees in a Licensed Product and Jazz took a sublicense to the applicable New Third Party IP.</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color w:val="auto"/>
        </w:rPr>
        <w:t>In the event that any isolated recombinant polypeptide becomes a Licensed Compound pursuant to Section 5.1(a)</w:t>
      </w:r>
    </w:p>
    <w:p>
      <w:pPr>
        <w:spacing w:after="0"/>
        <w:rPr>
          <w:sz w:val="20"/>
          <w:szCs w:val="20"/>
          <w:color w:val="auto"/>
        </w:rPr>
      </w:pPr>
      <w:r>
        <w:rPr>
          <w:rFonts w:ascii="Times New Roman" w:cs="Times New Roman" w:eastAsia="Times New Roman" w:hAnsi="Times New Roman"/>
          <w:sz w:val="22"/>
          <w:szCs w:val="22"/>
          <w:color w:val="auto"/>
        </w:rPr>
        <w:t>or any New Domain becomes licensed to Jazz pursuant to Section 5.1(c), Werewolf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ind w:firstLine="1304"/>
        <w:spacing w:after="0" w:line="236" w:lineRule="auto"/>
        <w:tabs>
          <w:tab w:leader="none" w:pos="193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transfer to Jazz all results and data relating to the applicable isolated recombinant polypeptide or domain, at Jazz’s costs and expense; and</w:t>
      </w:r>
    </w:p>
    <w:p>
      <w:pPr>
        <w:spacing w:after="0" w:line="150"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38"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cease all work on such isolated recombinant polypeptide or on such domain in conjunction with the other domains described in Section 1.79(b)(i)-(iii), unless otherwise agreed by the Parties in writing.</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color w:val="auto"/>
        </w:rPr>
        <w:t>Jazz and its Affiliates have the right to identify, develop, synthesize, create, discover, generate and invent Jazz</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Polypeptides (all of which are Licensed Compounds) and to engage Third Parties to do so, provided that Jazz does not, without Werewolf’s prior written consent, [**] (as opposed to prior art) in a published Patent that is owned or controlled by Werewolf and listed on </w:t>
      </w:r>
      <w:r>
        <w:rPr>
          <w:rFonts w:ascii="Times New Roman" w:cs="Times New Roman" w:eastAsia="Times New Roman" w:hAnsi="Times New Roman"/>
          <w:sz w:val="22"/>
          <w:szCs w:val="22"/>
          <w:b w:val="1"/>
          <w:bCs w:val="1"/>
          <w:color w:val="auto"/>
        </w:rPr>
        <w:t>Schedule 5.3</w:t>
      </w:r>
      <w:r>
        <w:rPr>
          <w:rFonts w:ascii="Times New Roman" w:cs="Times New Roman" w:eastAsia="Times New Roman" w:hAnsi="Times New Roman"/>
          <w:sz w:val="22"/>
          <w:szCs w:val="22"/>
          <w:color w:val="auto"/>
        </w:rPr>
        <w:t>, which schedule may be updated from time to time by Werewolf upon written notice to Jazz.</w:t>
      </w:r>
    </w:p>
    <w:p>
      <w:pPr>
        <w:spacing w:after="0" w:line="148"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w:t>
      </w:r>
    </w:p>
    <w:p>
      <w:pPr>
        <w:spacing w:after="0" w:line="17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6.1 Overview</w:t>
      </w:r>
      <w:r>
        <w:rPr>
          <w:rFonts w:ascii="Times New Roman" w:cs="Times New Roman" w:eastAsia="Times New Roman" w:hAnsi="Times New Roman"/>
          <w:sz w:val="21"/>
          <w:szCs w:val="21"/>
          <w:color w:val="auto"/>
        </w:rPr>
        <w:t>. Subject to the terms and conditions of this Agreement, Werewolf shall be responsible for performing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IND-Enabling Studies with respect to the Initial Lead Molecule, generating and delivering to Jazz all data and materials necessary for the preparation of an IND for the Initial Lead Molecule, and conducting any other Development activities for Licensed Compounds as the Parties may agree and as are specified in any Development Plan (the “</w:t>
      </w:r>
      <w:r>
        <w:rPr>
          <w:rFonts w:ascii="Times New Roman" w:cs="Times New Roman" w:eastAsia="Times New Roman" w:hAnsi="Times New Roman"/>
          <w:sz w:val="21"/>
          <w:szCs w:val="21"/>
          <w:b w:val="1"/>
          <w:bCs w:val="1"/>
          <w:color w:val="auto"/>
        </w:rPr>
        <w:t>Werewolf Development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Activities</w:t>
      </w:r>
      <w:r>
        <w:rPr>
          <w:rFonts w:ascii="Times New Roman" w:cs="Times New Roman" w:eastAsia="Times New Roman" w:hAnsi="Times New Roman"/>
          <w:sz w:val="21"/>
          <w:szCs w:val="21"/>
          <w:color w:val="auto"/>
        </w:rPr>
        <w:t>”). Werewolf shall also provide Jazz, at Jazz’s reasonable request and expense, with reasonable support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Jazz’s preparation of such IND. Jazz shall be responsible, at its sole cost and expense, for all Development activities to Exploit Licensed Products (other than the Werewolf Development Activities), including preparing, filing and owning all applications for Regulatory Approval and handling all interactions with Regulatory Authorities (the “</w:t>
      </w:r>
      <w:r>
        <w:rPr>
          <w:rFonts w:ascii="Times New Roman" w:cs="Times New Roman" w:eastAsia="Times New Roman" w:hAnsi="Times New Roman"/>
          <w:sz w:val="21"/>
          <w:szCs w:val="21"/>
          <w:b w:val="1"/>
          <w:bCs w:val="1"/>
          <w:color w:val="auto"/>
        </w:rPr>
        <w:t>Jazz Development Activities</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Development Plans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3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The Parties have agreed the Initial Development Plan as of the Effective Date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pre-clinical Development activities to be conducted by Werewolf on the Initial Lead Molecule. The Parties may, upon mutual agreement, enter into an additional Development Plan, if any, with respect to each of up to [**] Licensed Compounds other than the Initial Lead Molecule. Each Development Plan shall set forth the timeline and details for all Werewolf Development Activities to be conducted pursuant to such plan and shall include a reasonably detailed budget of the costs and expenses for the activities to be conducted pursuant to such plan (such budget the “</w:t>
      </w:r>
      <w:r>
        <w:rPr>
          <w:rFonts w:ascii="Times New Roman" w:cs="Times New Roman" w:eastAsia="Times New Roman" w:hAnsi="Times New Roman"/>
          <w:sz w:val="22"/>
          <w:szCs w:val="22"/>
          <w:b w:val="1"/>
          <w:bCs w:val="1"/>
          <w:color w:val="auto"/>
        </w:rPr>
        <w:t>Development Budget</w:t>
      </w:r>
      <w:r>
        <w:rPr>
          <w:rFonts w:ascii="Times New Roman" w:cs="Times New Roman" w:eastAsia="Times New Roman" w:hAnsi="Times New Roman"/>
          <w:sz w:val="22"/>
          <w:szCs w:val="22"/>
          <w:color w:val="auto"/>
        </w:rPr>
        <w:t>”). In addition, the Development Plan shall identify specified personnel of Werewolf to perform and/or oversee the conduct of specific Werewolf Development Activities, including Key Personnel, if applicable. If the terms of the Development Plan contradict, or create inconsistencies or ambiguities with, the terms of this Agreement, then the terms of this Agreement shall govern.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38"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Revisions</w:t>
      </w:r>
      <w:r>
        <w:rPr>
          <w:rFonts w:ascii="Times New Roman" w:cs="Times New Roman" w:eastAsia="Times New Roman" w:hAnsi="Times New Roman"/>
          <w:sz w:val="22"/>
          <w:szCs w:val="22"/>
          <w:color w:val="auto"/>
        </w:rPr>
        <w:t>. The JSC shall review each Development Plan (and associated Development Budget) [**]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amendment in accordance with this Section 6.2(b). In addition, from time to time, either Party may prepare updates and amendments, as appropriate, to a Development Plan to add, remove or modify the Werewolf Development Activities under such Development Plan (“</w:t>
      </w:r>
      <w:r>
        <w:rPr>
          <w:rFonts w:ascii="Times New Roman" w:cs="Times New Roman" w:eastAsia="Times New Roman" w:hAnsi="Times New Roman"/>
          <w:sz w:val="22"/>
          <w:szCs w:val="22"/>
          <w:b w:val="1"/>
          <w:bCs w:val="1"/>
          <w:color w:val="auto"/>
        </w:rPr>
        <w:t>Plan Revisions</w:t>
      </w:r>
      <w:r>
        <w:rPr>
          <w:rFonts w:ascii="Times New Roman" w:cs="Times New Roman" w:eastAsia="Times New Roman" w:hAnsi="Times New Roman"/>
          <w:sz w:val="22"/>
          <w:szCs w:val="22"/>
          <w:color w:val="auto"/>
        </w:rPr>
        <w:t>”). The Party wishing to make such a revision shall 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copy of the proposed Plan Revisions to the other Party, via the Working Group, for review and comment. The Working Group shall propose all Plan Revisions to the JSC for review, discussion, and approval.</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Development Costs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39"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Werewolf shall directly pay all costs for all Werewolf Development Activities. Jazz shall reimburse Werewolf for one hundred percent (100%) of the Werewolf Reimbursable Costs in accordance with Section 6.3(c) or 6.3(d).</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Budget</w:t>
      </w:r>
      <w:r>
        <w:rPr>
          <w:rFonts w:ascii="Times New Roman" w:cs="Times New Roman" w:eastAsia="Times New Roman" w:hAnsi="Times New Roman"/>
          <w:sz w:val="22"/>
          <w:szCs w:val="22"/>
          <w:color w:val="auto"/>
        </w:rPr>
        <w:t>. The Parties shall meet, on a [**] basis, to discuss and review, line-by-line,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actual costs incurred by Werewolf in performing a Werewolf Development Activities compared to the amounts set forth in the then-current applicable Development Budget with respect thereto.</w:t>
      </w:r>
    </w:p>
    <w:p>
      <w:pPr>
        <w:spacing w:after="0" w:line="13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Pre-Effective Date Werewolf Reimbursable Costs</w:t>
      </w:r>
      <w:r>
        <w:rPr>
          <w:rFonts w:ascii="Times New Roman" w:cs="Times New Roman" w:eastAsia="Times New Roman" w:hAnsi="Times New Roman"/>
          <w:sz w:val="22"/>
          <w:szCs w:val="22"/>
          <w:color w:val="auto"/>
        </w:rPr>
        <w:t>. Werewolf shall submit to Jazz on or no more than</w:t>
      </w:r>
    </w:p>
    <w:p>
      <w:pPr>
        <w:jc w:val="both"/>
        <w:ind w:firstLine="8"/>
        <w:spacing w:after="0" w:line="218" w:lineRule="auto"/>
        <w:tabs>
          <w:tab w:leader="none" w:pos="43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the Effective Date a good faith estimate of the Werewolf Reimbursable Costs incurred, and still to be incurred, by Werewolf between [**] and the Effective Date (the “</w:t>
      </w:r>
      <w:r>
        <w:rPr>
          <w:rFonts w:ascii="Times New Roman" w:cs="Times New Roman" w:eastAsia="Times New Roman" w:hAnsi="Times New Roman"/>
          <w:sz w:val="21"/>
          <w:szCs w:val="21"/>
          <w:b w:val="1"/>
          <w:bCs w:val="1"/>
          <w:color w:val="auto"/>
        </w:rPr>
        <w:t>Pre-Effective Date Period</w:t>
      </w:r>
      <w:r>
        <w:rPr>
          <w:rFonts w:ascii="Times New Roman" w:cs="Times New Roman" w:eastAsia="Times New Roman" w:hAnsi="Times New Roman"/>
          <w:sz w:val="21"/>
          <w:szCs w:val="21"/>
          <w:color w:val="auto"/>
        </w:rPr>
        <w:t>”). Within [**] after the Effective Date, Werewolf shall submit to Jazz (i) an invoice setting forth the total Werewolf Reimbursable Costs incurred by Werewolf during the Pre-Effective Date Period, (ii) timesheets indicating the percentage of time and the hour equivalent of such percentage Werewolf personnel allocated to the Development of the Initial Lead Molecule during the Pre-Effective Date Period, as reasonably necessary to confirm the manner and circumstances in which such costs were incurred, and (iii) documentation confirming any out-of-pocket expenses paid by Werewolf for Development of the Initial Lead Molecule during the Pre-Effective Date Period. Such invoice, timesheets and out-of-pocket expenses shall reflect the estimate provided by Werewolf to Jazz on or before the Effective Date, unless otherwise agreed by the Parties. Jazz shall pay the undisputed amount invoiced within [**] after receipt of the invoice. For clarity, FTE Costs of Werewolf’s Affiliates shall be treated as FTE Costs of Werewolf and not an out-of-pocket expense. Jazz shall have no responsibility for, nor any liability in respect of, any costs incurred by Werewolf prior to the Effective Date for Development of the Initial Lead Molecule that are not Werewolf Reimbursable Costs.</w:t>
      </w:r>
    </w:p>
    <w:p>
      <w:pPr>
        <w:spacing w:after="0" w:line="147"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8"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Estimates and Invoices</w:t>
      </w:r>
      <w:r>
        <w:rPr>
          <w:rFonts w:ascii="Times New Roman" w:cs="Times New Roman" w:eastAsia="Times New Roman" w:hAnsi="Times New Roman"/>
          <w:sz w:val="22"/>
          <w:szCs w:val="22"/>
          <w:color w:val="auto"/>
        </w:rPr>
        <w:t>. At least [**] prior to end of each [**] during the Term, Werewolf shall submit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Jazz in writing a good faith estimate of the total Werewolf Reimbursable Costs incurred by Werewolf in accordance with the Development Budget in such [**]. Such estimate shall be used by Jazz for accounting purposes only and shall not be considered binding on either Party. Within [**] after the end of each month in which Werewolf incurs any Werewolf Reimbursable Costs, Werewolf shall submit to Jazz (i) an invoice setting forth the total Werewolf Reimbursable Costs incurred by Werewolf in accordance with the Development Budget in such month, (ii) monthly timesheets indicating the percentage of time and the hour equivalent of such percentage Werewolf personnel allocated to the Werewolf Development Activities during such month, as reasonably necessary to confirm the manner and circumstances in which such costs were incurred, and (iii) documentation confirming any out-of-pocket expenses paid by Werewolf for Werewolf Development Activities during such month. Any third-party costs that are Werewolf Reimbursable Costs will be invoiced to Jazz within [**] after the end of the month in which the third party invoice is received. Jazz shall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undisputed amounts invoiced within [**] after receipt of the invoice. For clarity, FTE Costs of Werewolf’s Affiliates shall be treated as FTE Costs of Werewolf and not an out-of-pocket expense. Jazz shall have no responsibility for, nor any liability in respect of, any costs incurred by Werewolf for the performance of Werewolf Development Activities that are not Werewolf Reimbursable Costs.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6.4 Werewolf Development Activities</w:t>
      </w:r>
      <w:r>
        <w:rPr>
          <w:rFonts w:ascii="Times New Roman" w:cs="Times New Roman" w:eastAsia="Times New Roman" w:hAnsi="Times New Roman"/>
          <w:sz w:val="22"/>
          <w:szCs w:val="22"/>
          <w:color w:val="auto"/>
        </w:rPr>
        <w:t>. Werewolf shall perform the Werewolf Development Activities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Laws, the applicable, then-current Development Plan, and the terms of this Agreement. Werewolf shall (a) generate the data and deliverables specified in the Development Plan using at least the resources specified therein (e.g., FTEs, Key Personnel, and other dedicated resources) and (b) use diligent efforts to complete performance of the Werewolf Development Activities in accordance with the timelines set forth in the Development Plan.</w:t>
      </w:r>
    </w:p>
    <w:p>
      <w:pPr>
        <w:spacing w:after="0" w:line="147" w:lineRule="exact"/>
        <w:rPr>
          <w:sz w:val="20"/>
          <w:szCs w:val="20"/>
          <w:color w:val="auto"/>
        </w:rPr>
      </w:pPr>
    </w:p>
    <w:p>
      <w:pPr>
        <w:jc w:val="both"/>
        <w:ind w:firstLine="1304"/>
        <w:spacing w:after="0" w:line="211" w:lineRule="auto"/>
        <w:tabs>
          <w:tab w:leader="none" w:pos="1939"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Information and Data Exchange</w:t>
      </w:r>
      <w:r>
        <w:rPr>
          <w:rFonts w:ascii="Times New Roman" w:cs="Times New Roman" w:eastAsia="Times New Roman" w:hAnsi="Times New Roman"/>
          <w:sz w:val="22"/>
          <w:szCs w:val="22"/>
          <w:color w:val="auto"/>
        </w:rPr>
        <w:t>. Werewolf shall keep Jazz fully informed of any progress and results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Werewolf Development Activities and shall provide any updates and additional information as Jazz may request from time to time. In addition, Werewolf shall provide a written report, including all data and information generated in the performance of the Werewolf Development Activities, to Jazz in a form reasonably acceptable to Jazz on the [**] of each [**] during the period when activities are being performed under any Development Plan. Promptly following completion of any IND-Enabling Studies within the Werewolf Development Activities, Werewolf shall submit to Jazz all data and other information set forth in the applicable Development Plan for inclusion in an IND for the applicable Licensed Compound (the “</w:t>
      </w:r>
      <w:r>
        <w:rPr>
          <w:rFonts w:ascii="Times New Roman" w:cs="Times New Roman" w:eastAsia="Times New Roman" w:hAnsi="Times New Roman"/>
          <w:sz w:val="22"/>
          <w:szCs w:val="22"/>
          <w:b w:val="1"/>
          <w:bCs w:val="1"/>
          <w:color w:val="auto"/>
        </w:rPr>
        <w:t>IND Data Package</w:t>
      </w:r>
      <w:r>
        <w:rPr>
          <w:rFonts w:ascii="Times New Roman" w:cs="Times New Roman" w:eastAsia="Times New Roman" w:hAnsi="Times New Roman"/>
          <w:sz w:val="22"/>
          <w:szCs w:val="22"/>
          <w:color w:val="auto"/>
        </w:rPr>
        <w:t>”). Werewolf shall promptly provide to Jazz any data or information that Jazz identifies as missing from such IND Data Package and shall promptly provide responses to Jazz’s inquiries for clarification regarding the data and information included in such IND Data Package.</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3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Step-In Rights</w:t>
      </w:r>
      <w:r>
        <w:rPr>
          <w:rFonts w:ascii="Times New Roman" w:cs="Times New Roman" w:eastAsia="Times New Roman" w:hAnsi="Times New Roman"/>
          <w:sz w:val="22"/>
          <w:szCs w:val="22"/>
          <w:color w:val="auto"/>
        </w:rPr>
        <w:t>. Notwithstanding the foregoing, Jazz shall have the right to assume responsibility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carrying out any portion of any Development Plan: (i) If the JSC determines, upon consideration of all circumstances, that Werewolf has made insufficient progress against the Development Plan resulting in a material delay in submission of an IND, (ii) upon an Insolvency Event of Werewolf, or (iii) if Werewolf materially breaches any representation, warranty, covenant, or agreement made by Werewolf in this Agreement that is not cured within [**] of Jazz’s written notice thereof. For clarity, Jazz’s step-in right under this Section 6.4(b) shall be in addition to, and not in lieu of, any other remedies available to Jazz with respect to Werewolf’s material breach. Promptly following Jazz’s assumption of responsibility for the performance of Werewolf Development Activities pursuant to this Section 6.4(b), Werewolf shall perform a full technology transfer to Jazz in accordance with Section 3.8.</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6.5 Key Personnel</w:t>
      </w:r>
      <w:r>
        <w:rPr>
          <w:rFonts w:ascii="Times New Roman" w:cs="Times New Roman" w:eastAsia="Times New Roman" w:hAnsi="Times New Roman"/>
          <w:sz w:val="22"/>
          <w:szCs w:val="22"/>
          <w:color w:val="auto"/>
        </w:rPr>
        <w:t>. The Parties shall identify in each Development Plan any key Werewolf personnel who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or oversee the Werewolf Development Activities (the “</w:t>
      </w:r>
      <w:r>
        <w:rPr>
          <w:rFonts w:ascii="Times New Roman" w:cs="Times New Roman" w:eastAsia="Times New Roman" w:hAnsi="Times New Roman"/>
          <w:sz w:val="22"/>
          <w:szCs w:val="22"/>
          <w:b w:val="1"/>
          <w:bCs w:val="1"/>
          <w:color w:val="auto"/>
        </w:rPr>
        <w:t>Key Personnel</w:t>
      </w:r>
      <w:r>
        <w:rPr>
          <w:rFonts w:ascii="Times New Roman" w:cs="Times New Roman" w:eastAsia="Times New Roman" w:hAnsi="Times New Roman"/>
          <w:sz w:val="22"/>
          <w:szCs w:val="22"/>
          <w:color w:val="auto"/>
        </w:rPr>
        <w:t>”). Each Key Personnel shall each devote the percentage of their respective FTE specified in such Development Plan to performing the Werewolf Development Activities, with such FTE allocated in accordance with the timings by [**] in such Development Plan. The performance of Werewolf Development Activities by the Key Personnel (and other Werewolf personnel staffed to perform Werewolf Development Activities) shall receive at least the same level of priority as Werewolf’s internal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6.6 Subcontracting by Werewolf</w:t>
      </w:r>
      <w:r>
        <w:rPr>
          <w:rFonts w:ascii="Times New Roman" w:cs="Times New Roman" w:eastAsia="Times New Roman" w:hAnsi="Times New Roman"/>
          <w:sz w:val="22"/>
          <w:szCs w:val="22"/>
          <w:color w:val="auto"/>
        </w:rPr>
        <w:t>. Werewolf shall have the right to subcontract Werewolf Development Activities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Parties and Affiliates to the extent that the Werewolf Development Activity to be subcontracted is specifically identified in the applicable Development Plan as being eligible for subcontracting and the subcontractor is identified in the applicable Development Plan as an approved subcontractor; provided that, with respect to each subcontract with a non-Affiliate subcontractor to be entered into after the Effective Date, each subcontractor agrees in writing: (a) to perform the subcontracted Werewolf Development Activities in the same manner that Werewolf is obligated to perform them under this Agreement, (b) to be subject to confidentiality provisions materially similar to the provisions of Article 14, (c) to grant to Werewolf a worldwide, perpetual, irrevocable, royalty-free, fully paid up license (sublicensable through multiple tiers), under its Subcontractor Background IP, to research, develop, manufacture, commercialize and otherwise Exploit the Licensed Products and Licensed Compounds, (d) that, Werewolf solely owns all Intellectual Property Rights generated by such subcontractor in the course of performing the subcontracted Werewolf Development Activities (and can assign such Intellectual Property Rights to Jazz as needed to effectuate the provisions of Section 13.2), provided that, with respect to any such Intellectual Property Rights that (i) [**], (ii) [**], and (iii) [**] (“</w:t>
      </w:r>
      <w:r>
        <w:rPr>
          <w:rFonts w:ascii="Times New Roman" w:cs="Times New Roman" w:eastAsia="Times New Roman" w:hAnsi="Times New Roman"/>
          <w:sz w:val="22"/>
          <w:szCs w:val="22"/>
          <w:b w:val="1"/>
          <w:bCs w:val="1"/>
          <w:color w:val="auto"/>
        </w:rPr>
        <w:t>Subcontractor Improvement IP</w:t>
      </w:r>
      <w:r>
        <w:rPr>
          <w:rFonts w:ascii="Times New Roman" w:cs="Times New Roman" w:eastAsia="Times New Roman" w:hAnsi="Times New Roman"/>
          <w:sz w:val="22"/>
          <w:szCs w:val="22"/>
          <w:color w:val="auto"/>
        </w:rPr>
        <w:t>”), Werewolf may, instead of obtaining sole ownership, obtain a worldwide, perpetual, irrevocable, royalty-free, fully paid up license (including a right to sublicense through multiple tiers), under such Subcontractor Improvement IP, to research, develop, manufacture, commercialize and otherwise Exploit the Licensed Products and Licensed Compounds, (e) that Jazz is a Third Party beneficiary of the agreement with such subcontractor, and (f) that such subcontracting agreement will be assigned to Jazz upon Jazz’s written request. If, despite Werewolf using commercially reasonable efforts to procure in negotiations a subcontractor’s agreement to such terms ((a) through (f)), the subcontractor in question does not agree to such terms, Werewolf shall notify Jazz, and Jazz, in its sole discretion, shall determine whether Werewolf shall enter into a subcontract agreement with such subcontractor. At Jazz’s written request, Werewolf will use commercially reasonable efforts to obtain an amendment of its agreement with any Third Party subcontractor that was entered into before the Effective Date to include any of the terms (a) through (f) above that were not already included in such agreement; provided that such efforts shall not require Werewolf to make any payment to such subcontractor for such amendment or seek to obtain a given amendment more than [**] (but Werewolf may attempt to do so at its sole discretion). Additionally, prior to Werewolf engaging an Affiliate subcontractor to conduct Werewolf Development Activities, Werewolf shall have a written agreement in place with such Affiliate that requires (1) the subcontractor to perform the subcontracted Werewolf Development Activities in the same manner that Werewolf is obligated to perform them under this Agreement, (2) the subcontractor to be subject to confidentiality provisions materially similar to the provisions of Article 14, and (3) Werewolf to solely own all Intellectual Property Rights generated by such subcontractor in the course of performing the subcontracted Werewolf Development Activities (with the right to assign such Intellectual Property Rights to Jazz as needed to effectuate the provisions of Section 13.2). For the avoidance of doubt, Werewolf shall remain responsible for all subcontracted work and for all payments and other liabilities owed to its subcontractors.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6.7 Regulatory Inspections</w:t>
      </w:r>
      <w:r>
        <w:rPr>
          <w:rFonts w:ascii="Times New Roman" w:cs="Times New Roman" w:eastAsia="Times New Roman" w:hAnsi="Times New Roman"/>
          <w:sz w:val="22"/>
          <w:szCs w:val="22"/>
          <w:color w:val="auto"/>
        </w:rPr>
        <w:t>. Werewolf shall promptly notify Jazz of any regulatory inspections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a Development Plan by a duly authorized representative (“</w:t>
      </w:r>
      <w:r>
        <w:rPr>
          <w:rFonts w:ascii="Times New Roman" w:cs="Times New Roman" w:eastAsia="Times New Roman" w:hAnsi="Times New Roman"/>
          <w:sz w:val="22"/>
          <w:szCs w:val="22"/>
          <w:b w:val="1"/>
          <w:bCs w:val="1"/>
          <w:color w:val="auto"/>
        </w:rPr>
        <w:t>Inspector</w:t>
      </w:r>
      <w:r>
        <w:rPr>
          <w:rFonts w:ascii="Times New Roman" w:cs="Times New Roman" w:eastAsia="Times New Roman" w:hAnsi="Times New Roman"/>
          <w:sz w:val="22"/>
          <w:szCs w:val="22"/>
          <w:color w:val="auto"/>
        </w:rPr>
        <w:t>”) of any Regulatory Authority. Werewolf shall provide Jazz with the following data as soon as practicable: (a) the stated purpose of the inspection, (b) the scope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9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inspection and any bearing on Licensed Compounds or Licensed Products, (c) the name and credential number of the Inspector, and (d) a copy of the form(s) issued by the Inspector, if any. To the extent permitted by Applicable Laws, Werewolf shall permit Jazz to attend any inspections relating to the Werewolf Development Activities. Unless otherwise required by Applicable Laws, Werewolf shall not provide any copies of any Development Plan or other Confidential Information of Jazz to the Inspector and if permitted by Applicable Laws shall forward any requests for such materials by an Inspector to Jazz. Jazz shall have the primary responsibility for preparing any responses to the extent they relate to any Licensed Compound or Licensed Product (but not any other matter) that may be required by the Regulatory Authority, and Werewolf shall have the primary responsibility for preparing any responses relating to the method of performing the Werewolf Development Activities and Werewolf’s operations and procedures; provided, however, that Werewolf shall provide any proposed material correspondence with a Regulatory Authority related to the Werewolf Development Activities to Jazz for review and comment at least [**] before submission (or [**] before submission, if the Regulatory Authority requires a response in less than [**]). Jazz shall provide any such comments in writing within [**] of receipt of such correspondence (or such shorter period if required by the circumstances) and Werewolf shall incorporate any reasonable comments received from Jazz during such period. Nothing in this Section 6.7 shall require Werewolf to breach Applicable Laws.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1"/>
          <w:szCs w:val="21"/>
          <w:b w:val="1"/>
          <w:bCs w:val="1"/>
          <w:color w:val="auto"/>
        </w:rPr>
        <w:t>Development Records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39"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shall, itself or through its Affiliates, create and maintain records (in a format consistent with the Party’s customary record-keeping practices and reasonably acceptable to the other Party) of the data and other information generated or recorded in the performance of the Werewolf Development Activities or Jazz Development Activities, as the case may be, (“</w:t>
      </w:r>
      <w:r>
        <w:rPr>
          <w:rFonts w:ascii="Times New Roman" w:cs="Times New Roman" w:eastAsia="Times New Roman" w:hAnsi="Times New Roman"/>
          <w:sz w:val="22"/>
          <w:szCs w:val="22"/>
          <w:b w:val="1"/>
          <w:bCs w:val="1"/>
          <w:color w:val="auto"/>
        </w:rPr>
        <w:t>Development Records</w:t>
      </w:r>
      <w:r>
        <w:rPr>
          <w:rFonts w:ascii="Times New Roman" w:cs="Times New Roman" w:eastAsia="Times New Roman" w:hAnsi="Times New Roman"/>
          <w:sz w:val="22"/>
          <w:szCs w:val="22"/>
          <w:color w:val="auto"/>
        </w:rPr>
        <w:t>”) in sufficient detail and in good scientific manner appropriate for patent and regulatory purposes, which Development Records shall be complete and accurate and shall properly reflect all work done and results achieved in the performance of any Werewolf Development Activities or Jazz Development Activities. Each Party shall or shall procure that its Affiliates shall (as applicable) retain the Development Records for at least [**] after the expiration or termination of this Agreement, or for such longer period as may be required by Applicable Law.</w:t>
      </w:r>
    </w:p>
    <w:p>
      <w:pPr>
        <w:spacing w:after="0" w:line="15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Development Records in the possession of Werewolf or its Affiliates shall be maintained and managed</w:t>
      </w:r>
    </w:p>
    <w:p>
      <w:pPr>
        <w:jc w:val="both"/>
        <w:ind w:firstLine="8"/>
        <w:spacing w:after="0" w:line="218" w:lineRule="auto"/>
        <w:tabs>
          <w:tab w:leader="none" w:pos="27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separately from files generated, managed, or maintained by Werewolf for its other programs, (ii) in a manner so they can be quickly and accurately produced when required by Jazz pursuant to the provisions of this Agreement, and (iii) in compliance with Applicable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Development Records in the possession of Jazz or its Affiliates shall be maintained and managed (i) separately from files generated, managed, or maintained by Jazz for its other programs, (ii) in a manner so they can be quickly and accurately produced when required by Werewolf pursuant to the applicable provisions of Section 17.7 in the event of termination of this Agreement by Jazz pursuant to Section 17.2or by Werewolf pursuant to Section 17.3, and (iii) in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8" w:lineRule="exact"/>
        <w:rPr>
          <w:sz w:val="20"/>
          <w:szCs w:val="20"/>
          <w:color w:val="auto"/>
        </w:rPr>
      </w:pPr>
    </w:p>
    <w:p>
      <w:pPr>
        <w:jc w:val="both"/>
        <w:ind w:firstLine="1304"/>
        <w:spacing w:after="0" w:line="212" w:lineRule="auto"/>
        <w:tabs>
          <w:tab w:leader="none" w:pos="193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Jazz’s written request and expense, and with at least [**] prior notice, Werewolf shall permit Jazz’s employees (subject to execution of a written confidentiality agreement on customary terms and its agreement to comply with Werewolf’s on-site policies) to visit Werewolf’s or its Affiliates’ facilities during normal business hours to review the Development Records, inspect those facilities of Werewolf or its Affiliates which are being utilized in the performance of the Werewolf Development Activities, and make copies of relevant Development Records. Jazz shall be entitled to have performed such inspection of Development Records and Werewolf’s or its Affiliates’ facilities no more than [**] period (except for cause) during the Term and no more than [**] Jazz employees shall be permitted on the Werewolf premises at a time to conduct such inspection.</w:t>
      </w:r>
    </w:p>
    <w:p>
      <w:pPr>
        <w:spacing w:after="0" w:line="156"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41"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any Development Records for which copies have not been provided to Jazz, Werewolf shall, prior to the deletion or destruction of any such Development Records, notify Jazz. Following any such notification Jazz shall have [**] to request Werewolf in writing either to (i) provide a copy of such Development Records to Jazz and/or (ii) delete or destroy such Development Records. If Jazz does not provide notification to Werewolf within such [**] period then, for clarity, Werewolf shall be free to delete/destroy such Development Records.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6.9 Personnel and Resources</w:t>
      </w:r>
      <w:r>
        <w:rPr>
          <w:rFonts w:ascii="Times New Roman" w:cs="Times New Roman" w:eastAsia="Times New Roman" w:hAnsi="Times New Roman"/>
          <w:sz w:val="22"/>
          <w:szCs w:val="22"/>
          <w:color w:val="auto"/>
        </w:rPr>
        <w:t>. Werewolf shall maintain adequate personnel and resources to meet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Werewolf shall pay any and all salary, wages or other compensation to, and make any contributions for taxes, unemployment insurance, social security and other benefits for, its employees, agents and consultants performing under this Agreement.</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6.10 Employment and Labor Matters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is intended to transfer the employment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engaged in the provision of any Werewolf Development Activities from Werewolf to Jazz. All Representatives of Werewolf and any of its Affiliates will be deemed for all compensation, employee benefits, tax and social security contribution purposes to be employees or representatives of Werewolf or its Affiliates (or their subcontractors) and not employees or representatives of Jazz or any of its Affiliates. In providing the Werewolf Development Activities, such employees and representatives of Werewolf and its Affiliates (or their subcontractors) will be under the direction, control and supervision of Werewolf or its Affiliates (or their subcontractors) and not of Jazz or its Affiliates.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6.11</w:t>
      </w:r>
      <w:r>
        <w:rPr>
          <w:sz w:val="20"/>
          <w:szCs w:val="20"/>
          <w:color w:val="auto"/>
        </w:rPr>
        <w:tab/>
      </w:r>
      <w:r>
        <w:rPr>
          <w:rFonts w:ascii="Times New Roman" w:cs="Times New Roman" w:eastAsia="Times New Roman" w:hAnsi="Times New Roman"/>
          <w:sz w:val="21"/>
          <w:szCs w:val="21"/>
          <w:b w:val="1"/>
          <w:bCs w:val="1"/>
          <w:color w:val="auto"/>
        </w:rPr>
        <w:t>Jazz Development Plan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3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 Jazz will prepare and submit to the JSC for discussion a written high-level plan setting forth the key Development activities contemplated to be performed by Jazz through [**], and including [**] for such activities. Jazz shall discuss the Jazz Development Plan at the next JSC meeting after such submission [**].</w:t>
      </w:r>
    </w:p>
    <w:p>
      <w:pPr>
        <w:spacing w:after="0" w:line="152"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2024"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shall present to the JSC for discussion each proposed [**] update to the Jazz Development Plan before it is finalized and shall notify the JSC if it makes changes to the Jazz Development Plan between such [**] updates.</w:t>
      </w:r>
    </w:p>
    <w:p>
      <w:pPr>
        <w:spacing w:after="0" w:line="150"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shall perform the Jazz Development Activities in accordance with all Applicable Laws and the applicable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6.12</w:t>
      </w:r>
      <w:r>
        <w:rPr>
          <w:sz w:val="20"/>
          <w:szCs w:val="20"/>
          <w:color w:val="auto"/>
        </w:rPr>
        <w:tab/>
      </w:r>
      <w:r>
        <w:rPr>
          <w:rFonts w:ascii="Times New Roman" w:cs="Times New Roman" w:eastAsia="Times New Roman" w:hAnsi="Times New Roman"/>
          <w:sz w:val="21"/>
          <w:szCs w:val="21"/>
          <w:b w:val="1"/>
          <w:bCs w:val="1"/>
          <w:color w:val="auto"/>
        </w:rPr>
        <w:t>Jazz Diligence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32"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Commencing upon [**], Jazz shall use Commercially Reasonable Efforts to (i) [**] and (ii) [**]. Jazz shall have the right to satisfy its diligence obligation under this Section 6.12 through its Affiliates and Sublicensees.</w:t>
      </w:r>
    </w:p>
    <w:p>
      <w:pPr>
        <w:spacing w:after="0" w:line="14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w:t>
      </w:r>
    </w:p>
    <w:p>
      <w:pPr>
        <w:spacing w:after="0" w:line="17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7.1   General. </w:t>
      </w:r>
      <w:r>
        <w:rPr>
          <w:rFonts w:ascii="Times New Roman" w:cs="Times New Roman" w:eastAsia="Times New Roman" w:hAnsi="Times New Roman"/>
          <w:sz w:val="22"/>
          <w:szCs w:val="22"/>
          <w:color w:val="auto"/>
        </w:rPr>
        <w:t>Jazz, or its Affiliates or Sublicensees, will be responsible for all regulatory activity associated with the</w:t>
      </w:r>
    </w:p>
    <w:p>
      <w:pPr>
        <w:jc w:val="both"/>
        <w:spacing w:after="0" w:line="209" w:lineRule="auto"/>
        <w:rPr>
          <w:sz w:val="20"/>
          <w:szCs w:val="20"/>
          <w:color w:val="auto"/>
        </w:rPr>
      </w:pPr>
      <w:r>
        <w:rPr>
          <w:rFonts w:ascii="Times New Roman" w:cs="Times New Roman" w:eastAsia="Times New Roman" w:hAnsi="Times New Roman"/>
          <w:sz w:val="22"/>
          <w:szCs w:val="22"/>
          <w:color w:val="auto"/>
        </w:rPr>
        <w:t>Exploitation of Licensed Compounds or Licensed Products and shall own and control any and all Regulatory Approvals and any and all other regulatory communications and regulatory filings received and submitted in connection with seeking and maintaining Regulatory Approvals for the Licensed Products. Werewolf shall provide to Jazz all reasonable assistance requested by Jazz in connection therewith, including providing any documentation or other materials Controlled by Werewolf or its Affiliates as may be necessary or useful for Jazz or any of its Affiliates or its or their Sublicensees to prepare, file, obtain and maintain Regulatory Approvals for Licensed Products and to respond to regulatory communications. Except to the extent prohibited by Applicable Law, all regulatory documentation (including all Regulatory Approvals) relating to any Licensed Product shall be owned by and shall be held in the name of Jazz or its designated Affiliate, Sublicensee or designee.</w:t>
      </w:r>
    </w:p>
    <w:p>
      <w:pPr>
        <w:spacing w:after="0" w:line="154"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Manufacturing</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8.1 Process Development</w:t>
      </w:r>
      <w:r>
        <w:rPr>
          <w:rFonts w:ascii="Times New Roman" w:cs="Times New Roman" w:eastAsia="Times New Roman" w:hAnsi="Times New Roman"/>
          <w:sz w:val="22"/>
          <w:szCs w:val="22"/>
          <w:color w:val="auto"/>
        </w:rPr>
        <w:t>. At Jazz’s request and expense prior to completion of the manufacturing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pursuant to Section 8.7, Werewolf shall use commercially reasonable efforts to develop processes and expertise required to manufacture the Initial Lead Molecule, and, to the extent mutually agreed by the Parties, one or more other Licensed Compounds, for clinical purposes.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Supply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39"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8.7, below, and in accordance with the terms and conditions set forth in any Development Plan, including timelines therein, Werewolf shall manufacture (or have manufactured) and supply (or have supplied), a sufficient quantity of Licensed Product for Werewolf to perform all Werewolf Development Activities. Jazz shall reimburse Werewolf for its costs to supply such Licensed Product as specified in the applicable Development Budget.</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8"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Parties have agreed to the requirements for Licensed Product for use in the Phase 1 Clinical Trial for the Initial Lead Molecule as provided in </w:t>
      </w:r>
      <w:r>
        <w:rPr>
          <w:rFonts w:ascii="Times New Roman" w:cs="Times New Roman" w:eastAsia="Times New Roman" w:hAnsi="Times New Roman"/>
          <w:sz w:val="22"/>
          <w:szCs w:val="22"/>
          <w:b w:val="1"/>
          <w:bCs w:val="1"/>
          <w:color w:val="auto"/>
        </w:rPr>
        <w:t>Schedule 8.2(b)</w:t>
      </w:r>
      <w:r>
        <w:rPr>
          <w:rFonts w:ascii="Times New Roman" w:cs="Times New Roman" w:eastAsia="Times New Roman" w:hAnsi="Times New Roman"/>
          <w:sz w:val="22"/>
          <w:szCs w:val="22"/>
          <w:color w:val="auto"/>
        </w:rPr>
        <w:t>. Werewolf will initiate the order with the Third Party manufacturer within [**] of the Effective Date, shall supply to Jazz [**], in consideration for Jazz paying such agreed Cost of Goods for such Licensed Product in accordance with the terms of this Article 8, and shall use diligent efforts to ensure that [**]. Werewolf will use diligent efforts to [**].</w:t>
      </w:r>
    </w:p>
    <w:p>
      <w:pPr>
        <w:spacing w:after="0" w:line="152"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at Jazz’s written request, Werewolf will supply Jazz with the Initial Lead Molecule or Licensed Product containing the Initial Lead Molecule, or,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mutually agreed by the Parties, one or more other Licensed Compounds or Licensed Products for clinical purposes, provided that:</w:t>
      </w:r>
    </w:p>
    <w:p>
      <w:pPr>
        <w:spacing w:after="0" w:line="191" w:lineRule="exact"/>
        <w:rPr>
          <w:sz w:val="20"/>
          <w:szCs w:val="20"/>
          <w:color w:val="auto"/>
        </w:rPr>
      </w:pPr>
    </w:p>
    <w:p>
      <w:pPr>
        <w:ind w:left="2580" w:hanging="628"/>
        <w:spacing w:after="0"/>
        <w:tabs>
          <w:tab w:leader="none" w:pos="25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supply by Werewolf of such Licensed Product is [**],</w:t>
      </w:r>
    </w:p>
    <w:p>
      <w:pPr>
        <w:spacing w:after="0" w:line="17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is [**],</w:t>
      </w:r>
    </w:p>
    <w:p>
      <w:pPr>
        <w:spacing w:after="0" w:line="17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Werewolf is [**], and</w:t>
      </w:r>
    </w:p>
    <w:p>
      <w:pPr>
        <w:spacing w:after="0" w:line="179"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shall reimburse Werewolf for its costs of supplying such Licensed Compound or Licensed Product at Werewolf’s Cost of Goods.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8.3 Quality</w:t>
      </w:r>
      <w:r>
        <w:rPr>
          <w:rFonts w:ascii="Times New Roman" w:cs="Times New Roman" w:eastAsia="Times New Roman" w:hAnsi="Times New Roman"/>
          <w:sz w:val="22"/>
          <w:szCs w:val="22"/>
          <w:color w:val="auto"/>
        </w:rPr>
        <w:t>. Promptly after the Effective Date, the Parties shall negotiate in good faith and enter into a quality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will provide for customary and commercially reasonable terms and conditions relating to the quality requirements for the manufacture and supply of Licensed Compounds and Licensed Products by or on behalf of Werewolf. Werewolf will maintain and follow a quality control testing and quality assurance program consistent with the applicable specifications, good manufacturing practices, and all other requirements of Applicable Law and consistent with industry standards.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8.4 Ordering</w:t>
      </w:r>
      <w:r>
        <w:rPr>
          <w:rFonts w:ascii="Times New Roman" w:cs="Times New Roman" w:eastAsia="Times New Roman" w:hAnsi="Times New Roman"/>
          <w:sz w:val="22"/>
          <w:szCs w:val="22"/>
          <w:color w:val="auto"/>
        </w:rPr>
        <w:t>. Jazz may, from time to time, submit a written purchase order to Werewolf for the clinical supply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Compound or Licensed Product pursuant to the provisions of Section 8.2(c). Any such purchase order shall be confirmed by Werewolf within [**] of receipt, [**]. Werewolf will use its commercially reasonable efforts to [**] under this Agreement. Once a purchase order is agreed, it shall be binding on both Parties. For the avoidance of doubt, no purchase orders are required to be submitted in respect of any supply in accordance with Section 8.2(b).</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8.5 Delivery</w:t>
      </w:r>
      <w:r>
        <w:rPr>
          <w:rFonts w:ascii="Times New Roman" w:cs="Times New Roman" w:eastAsia="Times New Roman" w:hAnsi="Times New Roman"/>
          <w:sz w:val="22"/>
          <w:szCs w:val="22"/>
          <w:color w:val="auto"/>
        </w:rPr>
        <w:t>. All Licensed Compound and Licensed Product supplied under this Agreement shall be manufactured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supplied in accordance with the Quality Agreement and, with the exception of the Licensed Product used by Werewolf in the Werewolf Development Activities pursuant to Section 8.2(a), shall be delivered to Jazz </w:t>
      </w:r>
      <w:r>
        <w:rPr>
          <w:rFonts w:ascii="Times New Roman" w:cs="Times New Roman" w:eastAsia="Times New Roman" w:hAnsi="Times New Roman"/>
          <w:sz w:val="22"/>
          <w:szCs w:val="22"/>
          <w:i w:val="1"/>
          <w:iCs w:val="1"/>
          <w:color w:val="auto"/>
        </w:rPr>
        <w:t>FCA</w:t>
      </w:r>
      <w:r>
        <w:rPr>
          <w:rFonts w:ascii="Times New Roman" w:cs="Times New Roman" w:eastAsia="Times New Roman" w:hAnsi="Times New Roman"/>
          <w:sz w:val="22"/>
          <w:szCs w:val="22"/>
          <w:color w:val="auto"/>
        </w:rPr>
        <w:t xml:space="preserve"> (Incoterms 2020) from Werewolf’s designated Third Party contract manufacturer’s facility in the United States. Title and risk of loss and damage to any such Licensed Compound or Licensed Product purchased under this Agreement shall pass to Jazz on delivery.</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8.6 Information; Updates</w:t>
      </w:r>
      <w:r>
        <w:rPr>
          <w:rFonts w:ascii="Times New Roman" w:cs="Times New Roman" w:eastAsia="Times New Roman" w:hAnsi="Times New Roman"/>
          <w:sz w:val="22"/>
          <w:szCs w:val="22"/>
          <w:color w:val="auto"/>
        </w:rPr>
        <w:t>. Werewolf shall promptly disclose to Jazz in writing the details of any failure, defect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issue concerning the supply of Licensed Compound or Licensed Products under this Agreement, including any failure to fully comply with cGMP or the requirements of the Quality Agreement, to produce Licensed Product fully meeting all specifications, or any delay of any delivery of Licensed Product. Werewolf will share the results of any consequent investigations, including any investigation into the performance of any Third Party with Jazz, and the Parties shall discuss in good faith how to prevent such issues arising in the future.</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8.7 Manufacturing Technology Transfer</w:t>
      </w:r>
      <w:r>
        <w:rPr>
          <w:rFonts w:ascii="Times New Roman" w:cs="Times New Roman" w:eastAsia="Times New Roman" w:hAnsi="Times New Roman"/>
          <w:sz w:val="22"/>
          <w:szCs w:val="22"/>
          <w:color w:val="auto"/>
        </w:rPr>
        <w:t>. Within [**] after its receipt of the written request of Jazz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manufactured as provided in Section 8.2(b), above, Werewolf shall, at [**] cost and expense, commence the performance of a manufacturing technology transfer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9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Jazz, its nominated Affiliate or a Third Party contract manufacturer designated by Jazz of all Licensed Know-How which is necessary or useful to manufacture or have manufactured Licensed Compounds and Licensed Product. Such manufacturing technology transfer shall be performed pursuant to a mutually agreed manufacturing technology transfer plan, which sets out the activities, timelines and budget for such technology transfer (the “</w:t>
      </w:r>
      <w:r>
        <w:rPr>
          <w:rFonts w:ascii="Times New Roman" w:cs="Times New Roman" w:eastAsia="Times New Roman" w:hAnsi="Times New Roman"/>
          <w:sz w:val="22"/>
          <w:szCs w:val="22"/>
          <w:b w:val="1"/>
          <w:bCs w:val="1"/>
          <w:color w:val="auto"/>
        </w:rPr>
        <w:t>Technology Transfer Plan</w:t>
      </w:r>
      <w:r>
        <w:rPr>
          <w:rFonts w:ascii="Times New Roman" w:cs="Times New Roman" w:eastAsia="Times New Roman" w:hAnsi="Times New Roman"/>
          <w:sz w:val="22"/>
          <w:szCs w:val="22"/>
          <w:color w:val="auto"/>
        </w:rPr>
        <w:t>”). Jazz shall prepare a draft Technology Transfer Plan and provide it to Werewolf for Werewolf’s review and comment. Jazz shall incorporate Werewolf’s reasonable comments into the draft Technology Transfer Plan to generate the final Technology Transfer Plan. As part of such Technology Transfer Plan, the Parties shall agree on terms relating to, amongst others: (i) [**], (ii) [**], (iii) [**], (iv) [**], and</w:t>
      </w:r>
    </w:p>
    <w:p>
      <w:pPr>
        <w:spacing w:after="0" w:line="1" w:lineRule="exact"/>
        <w:rPr>
          <w:sz w:val="20"/>
          <w:szCs w:val="20"/>
          <w:color w:val="auto"/>
        </w:rPr>
      </w:pPr>
    </w:p>
    <w:p>
      <w:pPr>
        <w:jc w:val="both"/>
        <w:ind w:firstLine="8"/>
        <w:spacing w:after="0" w:line="210" w:lineRule="auto"/>
        <w:tabs>
          <w:tab w:leader="none" w:pos="34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Each Party shall perform the activities allocated to it under the Technology Transfer Plan in accordance with the timelines set forth therein, provided that the Parties shall adjust such timelines in the Technology Transfer Plan as reasonably necessary due to technical issues. Following completion of the manufacturing technology transfer, as between the Parties and except for any ongoing supply pursuant to Section 8.2, Jazz shall have the exclusive right to conduct or have conducted, and be solely responsible for, at its sole cost and expense, the manufacture and supply of all Licensed Compounds and Licensed Products. Werewolf shall provide all such technical assistance and support to Jazz as Jazz may require in order to manufacture or have manufactured Licensed Compounds or Licensed Products.</w:t>
      </w:r>
    </w:p>
    <w:p>
      <w:pPr>
        <w:spacing w:after="0" w:line="151"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Commercialization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9.1 Commercialization</w:t>
      </w:r>
      <w:r>
        <w:rPr>
          <w:rFonts w:ascii="Times New Roman" w:cs="Times New Roman" w:eastAsia="Times New Roman" w:hAnsi="Times New Roman"/>
          <w:sz w:val="22"/>
          <w:szCs w:val="22"/>
          <w:color w:val="auto"/>
        </w:rPr>
        <w:t>. As between the Parties, Jazz shall have the exclusive right to conduct and be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at its sole cost and expense, for the Commercialization of all Licensed Compounds and Licensed Products worldwide, including (a) negotiating with applicable Governmental Bodies regarding the price and reimbursement status of Licensed Compounds and Licensed Products, (b) marketing and promotion, (c) booking sales and distribution and performance of related services, (d) handling all aspects of order processing, invoicing and collection, inventory and receivables, (e) providing customer support, including handling medical queries, and performing other related functions, and (f) conforming its practices and procedures to Applicable Laws relating to the marketing, detailing and promotion of Licensed Compounds or Licensed Products.</w:t>
      </w:r>
    </w:p>
    <w:p>
      <w:pPr>
        <w:spacing w:after="0" w:line="148"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10.1 Upfront Payment</w:t>
      </w:r>
      <w:r>
        <w:rPr>
          <w:rFonts w:ascii="Times New Roman" w:cs="Times New Roman" w:eastAsia="Times New Roman" w:hAnsi="Times New Roman"/>
          <w:sz w:val="22"/>
          <w:szCs w:val="22"/>
          <w:color w:val="auto"/>
        </w:rPr>
        <w:t>. Jazz shall pay to Werewolf an upfront payment of Fifteen Million Dollars ($15,000,000)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ten (10) Business Days following the Effective Date, in accordance with the payment provisions of Article 11 and subject to receipt by Jazz of the applicable invoice from Werewolf.</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1060" w:firstLine="1297"/>
        <w:spacing w:after="0" w:line="221" w:lineRule="auto"/>
        <w:tabs>
          <w:tab w:leader="none" w:pos="3242"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 Jazz shall pay to Werewolf the one-time milestone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set forth below following the first achievement, by Jazz, and/or any of its Affiliates or Sublicensees, of the corresponding milestone events defined below (each, a “</w:t>
      </w:r>
      <w:r>
        <w:rPr>
          <w:rFonts w:ascii="Times New Roman" w:cs="Times New Roman" w:eastAsia="Times New Roman" w:hAnsi="Times New Roman"/>
          <w:sz w:val="22"/>
          <w:szCs w:val="22"/>
          <w:b w:val="1"/>
          <w:bCs w:val="1"/>
          <w:color w:val="auto"/>
        </w:rPr>
        <w:t>Development Milestone Payment”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Milestone Event,</w:t>
      </w:r>
      <w:r>
        <w:rPr>
          <w:rFonts w:ascii="Times New Roman" w:cs="Times New Roman" w:eastAsia="Times New Roman" w:hAnsi="Times New Roman"/>
          <w:sz w:val="22"/>
          <w:szCs w:val="22"/>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00" w:type="dxa"/>
            <w:vAlign w:val="bottom"/>
            <w:tcBorders>
              <w:top w:val="single" w:sz="8" w:color="auto"/>
              <w:left w:val="single" w:sz="8" w:color="auto"/>
              <w:bottom w:val="single" w:sz="8" w:color="auto"/>
              <w:right w:val="single" w:sz="8" w:color="auto"/>
            </w:tcBorders>
            <w:shd w:val="clear" w:color="auto" w:fill="F2F2F2"/>
          </w:tcPr>
          <w:p>
            <w:pPr>
              <w:spacing w:after="0"/>
              <w:rPr>
                <w:sz w:val="24"/>
                <w:szCs w:val="24"/>
                <w:color w:val="auto"/>
              </w:rPr>
            </w:pPr>
          </w:p>
        </w:tc>
        <w:tc>
          <w:tcPr>
            <w:tcW w:w="7300" w:type="dxa"/>
            <w:vAlign w:val="bottom"/>
            <w:tcBorders>
              <w:top w:val="single" w:sz="8" w:color="auto"/>
              <w:bottom w:val="single" w:sz="8" w:color="auto"/>
              <w:right w:val="single" w:sz="8" w:color="auto"/>
            </w:tcBorders>
            <w:shd w:val="clear" w:color="auto" w:fill="F2F2F2"/>
          </w:tcPr>
          <w:p>
            <w:pPr>
              <w:jc w:val="right"/>
              <w:ind w:right="2172"/>
              <w:spacing w:after="0"/>
              <w:rPr>
                <w:sz w:val="20"/>
                <w:szCs w:val="20"/>
                <w:color w:val="auto"/>
              </w:rPr>
            </w:pPr>
            <w:r>
              <w:rPr>
                <w:rFonts w:ascii="Times New Roman" w:cs="Times New Roman" w:eastAsia="Times New Roman" w:hAnsi="Times New Roman"/>
                <w:sz w:val="22"/>
                <w:szCs w:val="22"/>
                <w:b w:val="1"/>
                <w:bCs w:val="1"/>
                <w:color w:val="auto"/>
              </w:rPr>
              <w:t>Development Milestone Event</w:t>
            </w:r>
          </w:p>
        </w:tc>
        <w:tc>
          <w:tcPr>
            <w:tcW w:w="324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Development Milestone Payment</w:t>
            </w: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7300" w:type="dxa"/>
            <w:vAlign w:val="bottom"/>
            <w:tcBorders>
              <w:right w:val="single" w:sz="8" w:color="auto"/>
            </w:tcBorders>
          </w:tcPr>
          <w:p>
            <w:pPr>
              <w:jc w:val="right"/>
              <w:ind w:right="6812"/>
              <w:spacing w:after="0"/>
              <w:rPr>
                <w:sz w:val="20"/>
                <w:szCs w:val="20"/>
                <w:color w:val="auto"/>
              </w:rPr>
            </w:pPr>
            <w:r>
              <w:rPr>
                <w:rFonts w:ascii="Times New Roman" w:cs="Times New Roman" w:eastAsia="Times New Roman" w:hAnsi="Times New Roman"/>
                <w:sz w:val="22"/>
                <w:szCs w:val="22"/>
                <w:color w:val="auto"/>
                <w:w w:val="98"/>
              </w:rPr>
              <w:t>[**]</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30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30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7300" w:type="dxa"/>
            <w:vAlign w:val="bottom"/>
            <w:tcBorders>
              <w:right w:val="single" w:sz="8" w:color="auto"/>
            </w:tcBorders>
          </w:tcPr>
          <w:p>
            <w:pPr>
              <w:jc w:val="right"/>
              <w:ind w:right="6812"/>
              <w:spacing w:after="0"/>
              <w:rPr>
                <w:sz w:val="20"/>
                <w:szCs w:val="20"/>
                <w:color w:val="auto"/>
              </w:rPr>
            </w:pPr>
            <w:r>
              <w:rPr>
                <w:rFonts w:ascii="Times New Roman" w:cs="Times New Roman" w:eastAsia="Times New Roman" w:hAnsi="Times New Roman"/>
                <w:sz w:val="22"/>
                <w:szCs w:val="22"/>
                <w:color w:val="auto"/>
                <w:w w:val="98"/>
              </w:rPr>
              <w:t>[**]</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30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30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7300" w:type="dxa"/>
            <w:vAlign w:val="bottom"/>
            <w:tcBorders>
              <w:right w:val="single" w:sz="8" w:color="auto"/>
            </w:tcBorders>
          </w:tcPr>
          <w:p>
            <w:pPr>
              <w:jc w:val="right"/>
              <w:ind w:right="6812"/>
              <w:spacing w:after="0"/>
              <w:rPr>
                <w:sz w:val="20"/>
                <w:szCs w:val="20"/>
                <w:color w:val="auto"/>
              </w:rPr>
            </w:pPr>
            <w:r>
              <w:rPr>
                <w:rFonts w:ascii="Times New Roman" w:cs="Times New Roman" w:eastAsia="Times New Roman" w:hAnsi="Times New Roman"/>
                <w:sz w:val="22"/>
                <w:szCs w:val="22"/>
                <w:color w:val="auto"/>
                <w:w w:val="98"/>
              </w:rPr>
              <w:t>[**]</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30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30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7300" w:type="dxa"/>
            <w:vAlign w:val="bottom"/>
            <w:tcBorders>
              <w:right w:val="single" w:sz="8" w:color="auto"/>
            </w:tcBorders>
          </w:tcPr>
          <w:p>
            <w:pPr>
              <w:jc w:val="right"/>
              <w:ind w:right="6812"/>
              <w:spacing w:after="0"/>
              <w:rPr>
                <w:sz w:val="20"/>
                <w:szCs w:val="20"/>
                <w:color w:val="auto"/>
              </w:rPr>
            </w:pPr>
            <w:r>
              <w:rPr>
                <w:rFonts w:ascii="Times New Roman" w:cs="Times New Roman" w:eastAsia="Times New Roman" w:hAnsi="Times New Roman"/>
                <w:sz w:val="22"/>
                <w:szCs w:val="22"/>
                <w:color w:val="auto"/>
                <w:w w:val="98"/>
              </w:rPr>
              <w:t>[**]</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30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30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73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Total Development Milestone Payments for all Licensed Products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1060" w:firstLine="1297"/>
        <w:spacing w:after="0" w:line="221" w:lineRule="auto"/>
        <w:tabs>
          <w:tab w:leader="none" w:pos="3241"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Milestones</w:t>
      </w:r>
      <w:r>
        <w:rPr>
          <w:rFonts w:ascii="Times New Roman" w:cs="Times New Roman" w:eastAsia="Times New Roman" w:hAnsi="Times New Roman"/>
          <w:sz w:val="22"/>
          <w:szCs w:val="22"/>
          <w:color w:val="auto"/>
        </w:rPr>
        <w:t>. Jazz shall pay to Werewolf the one-time milestone payments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below following the first achievement by Jazz, and/or any of its Affiliates or Sublicensees, of the corresponding milestone events defined below (each, a “</w:t>
      </w:r>
      <w:r>
        <w:rPr>
          <w:rFonts w:ascii="Times New Roman" w:cs="Times New Roman" w:eastAsia="Times New Roman" w:hAnsi="Times New Roman"/>
          <w:sz w:val="22"/>
          <w:szCs w:val="22"/>
          <w:b w:val="1"/>
          <w:bCs w:val="1"/>
          <w:color w:val="auto"/>
        </w:rPr>
        <w:t>Regulatory Milestone Payment”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Regulatory Milestone Event,</w:t>
      </w:r>
      <w:r>
        <w:rPr>
          <w:rFonts w:ascii="Times New Roman" w:cs="Times New Roman" w:eastAsia="Times New Roman" w:hAnsi="Times New Roman"/>
          <w:sz w:val="22"/>
          <w:szCs w:val="22"/>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00" w:type="dxa"/>
            <w:vAlign w:val="bottom"/>
            <w:tcBorders>
              <w:top w:val="single" w:sz="8" w:color="auto"/>
              <w:left w:val="single" w:sz="8" w:color="auto"/>
              <w:bottom w:val="single" w:sz="8" w:color="auto"/>
              <w:right w:val="single" w:sz="8" w:color="auto"/>
            </w:tcBorders>
            <w:shd w:val="clear" w:color="auto" w:fill="F2F2F2"/>
          </w:tcPr>
          <w:p>
            <w:pPr>
              <w:spacing w:after="0"/>
              <w:rPr>
                <w:sz w:val="24"/>
                <w:szCs w:val="24"/>
                <w:color w:val="auto"/>
              </w:rPr>
            </w:pPr>
          </w:p>
        </w:tc>
        <w:tc>
          <w:tcPr>
            <w:tcW w:w="7040" w:type="dxa"/>
            <w:vAlign w:val="bottom"/>
            <w:tcBorders>
              <w:top w:val="single" w:sz="8" w:color="auto"/>
              <w:bottom w:val="single" w:sz="8" w:color="auto"/>
              <w:right w:val="single" w:sz="8" w:color="auto"/>
            </w:tcBorders>
            <w:shd w:val="clear" w:color="auto" w:fill="F2F2F2"/>
          </w:tcPr>
          <w:p>
            <w:pPr>
              <w:jc w:val="right"/>
              <w:ind w:right="2132"/>
              <w:spacing w:after="0"/>
              <w:rPr>
                <w:sz w:val="20"/>
                <w:szCs w:val="20"/>
                <w:color w:val="auto"/>
              </w:rPr>
            </w:pPr>
            <w:r>
              <w:rPr>
                <w:rFonts w:ascii="Times New Roman" w:cs="Times New Roman" w:eastAsia="Times New Roman" w:hAnsi="Times New Roman"/>
                <w:sz w:val="22"/>
                <w:szCs w:val="22"/>
                <w:b w:val="1"/>
                <w:bCs w:val="1"/>
                <w:color w:val="auto"/>
              </w:rPr>
              <w:t>Regulatory Milestone Event</w:t>
            </w:r>
          </w:p>
        </w:tc>
        <w:tc>
          <w:tcPr>
            <w:tcW w:w="350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Regulatory Milestone Payment</w:t>
            </w: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6.</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7.</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8.</w:t>
            </w:r>
          </w:p>
        </w:tc>
        <w:tc>
          <w:tcPr>
            <w:tcW w:w="7040" w:type="dxa"/>
            <w:vAlign w:val="bottom"/>
            <w:tcBorders>
              <w:right w:val="single" w:sz="8" w:color="auto"/>
            </w:tcBorders>
          </w:tcPr>
          <w:p>
            <w:pPr>
              <w:jc w:val="right"/>
              <w:ind w:right="6552"/>
              <w:spacing w:after="0"/>
              <w:rPr>
                <w:sz w:val="20"/>
                <w:szCs w:val="20"/>
                <w:color w:val="auto"/>
              </w:rPr>
            </w:pPr>
            <w:r>
              <w:rPr>
                <w:rFonts w:ascii="Times New Roman" w:cs="Times New Roman" w:eastAsia="Times New Roman" w:hAnsi="Times New Roman"/>
                <w:sz w:val="22"/>
                <w:szCs w:val="22"/>
                <w:color w:val="auto"/>
                <w:w w:val="98"/>
              </w:rPr>
              <w:t>[**]</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67"/>
        </w:trPr>
        <w:tc>
          <w:tcPr>
            <w:tcW w:w="7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70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7040" w:type="dxa"/>
            <w:vAlign w:val="bottom"/>
            <w:tcBorders>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Total Regulatory Milestone Payments for all Licensed Products</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firstLine="1304"/>
        <w:spacing w:after="0" w:line="222" w:lineRule="auto"/>
        <w:tabs>
          <w:tab w:leader="none" w:pos="1941"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First Indication and Second Indication</w:t>
      </w:r>
      <w:r>
        <w:rPr>
          <w:rFonts w:ascii="Times New Roman" w:cs="Times New Roman" w:eastAsia="Times New Roman" w:hAnsi="Times New Roman"/>
          <w:sz w:val="21"/>
          <w:szCs w:val="21"/>
          <w:color w:val="auto"/>
        </w:rPr>
        <w:t>. For the avoidance of doubt, notwithstanding the foregoing,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Development Milestone Event or Regulatory Milestone Event can be achieved (or be deemed achieved) for [**]. Upon the first achievement of Regulatory Milestone Event [**] with respect to a [**] that [**], Jazz shall pay the full amount of the corresponding Regulatory Milestone Payment and no further payments shall be owed with respect thereto. Upon the first achievement of Regulatory Milestone Event [**] with respect to a [**] that [**], if (i) [**], (ii) [**], and (iii) [**], then Jazz shall pay the full amount of the corresponding Regulatory Milestone Payment. Upon the first achievement of Regulatory Milestone Event [**] with respect to a [**] that [**], if (i) [**] and (ii) [**], then Jazz shall make a payment of [**] percent ([**]%) of the corresponding Regulatory Milestone Payment and the remaining [**] percent ([**]%) of the corresponding Regulatory Milestone Payment shall be payable upon the first achievement of such Regulatory Milestone Event with respect to the [**].</w:t>
      </w:r>
    </w:p>
    <w:p>
      <w:pPr>
        <w:spacing w:after="0" w:line="149" w:lineRule="exact"/>
        <w:rPr>
          <w:rFonts w:ascii="Times New Roman" w:cs="Times New Roman" w:eastAsia="Times New Roman" w:hAnsi="Times New Roman"/>
          <w:sz w:val="21"/>
          <w:szCs w:val="21"/>
          <w:b w:val="1"/>
          <w:bCs w:val="1"/>
          <w:color w:val="auto"/>
        </w:rPr>
      </w:pPr>
    </w:p>
    <w:p>
      <w:pPr>
        <w:ind w:left="1940" w:hanging="636"/>
        <w:spacing w:after="0"/>
        <w:tabs>
          <w:tab w:leader="none" w:pos="19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Milestone 2</w:t>
      </w:r>
      <w:r>
        <w:rPr>
          <w:rFonts w:ascii="Times New Roman" w:cs="Times New Roman" w:eastAsia="Times New Roman" w:hAnsi="Times New Roman"/>
          <w:sz w:val="22"/>
          <w:szCs w:val="22"/>
          <w:color w:val="auto"/>
        </w:rPr>
        <w:t>. Development Milestone 2 will be payable as follows:</w:t>
      </w:r>
    </w:p>
    <w:p>
      <w:pPr>
        <w:spacing w:after="0" w:line="183"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0"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Development Milestone Event 2 will be first achieved upon [**] and Development Milestone Payment 2 will become due [**].</w:t>
      </w:r>
    </w:p>
    <w:p>
      <w:pPr>
        <w:spacing w:after="0" w:line="150"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8" w:lineRule="exact"/>
        <w:rPr>
          <w:sz w:val="20"/>
          <w:szCs w:val="20"/>
          <w:color w:val="auto"/>
        </w:rPr>
      </w:pPr>
    </w:p>
    <w:p>
      <w:pPr>
        <w:ind w:left="2600" w:hanging="648"/>
        <w:spacing w:after="0"/>
        <w:tabs>
          <w:tab w:leader="none" w:pos="2600" w:val="left"/>
        </w:tabs>
        <w:numPr>
          <w:ilvl w:val="2"/>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no event will the aggregate amount paid under this Section 10.2(d) exceed $[**].</w:t>
      </w:r>
    </w:p>
    <w:p>
      <w:pPr>
        <w:spacing w:after="0" w:line="175"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Skipped Development Milestone</w:t>
      </w:r>
      <w:r>
        <w:rPr>
          <w:rFonts w:ascii="Times New Roman" w:cs="Times New Roman" w:eastAsia="Times New Roman" w:hAnsi="Times New Roman"/>
          <w:sz w:val="22"/>
          <w:szCs w:val="22"/>
          <w:color w:val="auto"/>
        </w:rPr>
        <w:t>. In the event that Development Milestone Event [**] has not yet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achieved at the time of the achievement of Development Milestone Event [**]</w:t>
      </w:r>
      <w:r>
        <w:rPr>
          <w:rFonts w:ascii="Times New Roman" w:cs="Times New Roman" w:eastAsia="Times New Roman" w:hAnsi="Times New Roman"/>
          <w:sz w:val="22"/>
          <w:szCs w:val="22"/>
          <w:i w:val="1"/>
          <w:iCs w:val="1"/>
          <w:color w:val="auto"/>
        </w:rPr>
        <w:t>, then it</w:t>
      </w:r>
      <w:r>
        <w:rPr>
          <w:rFonts w:ascii="Times New Roman" w:cs="Times New Roman" w:eastAsia="Times New Roman" w:hAnsi="Times New Roman"/>
          <w:sz w:val="22"/>
          <w:szCs w:val="22"/>
          <w:color w:val="auto"/>
        </w:rPr>
        <w:t xml:space="preserve"> shall be deemed to have been achieved and the Development Milestone Payment for Development Milestone Event [**] shall be due at the same time as the Development Milestone Payment for Development Milestone Event [**]. In the event that Development Milestone Event [**]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Development Milestone Event [**] has not yet been achieved at the time of the achievement of Development Milestone Event [**], then such Development Milestone Event shall be deemed to have been achieved and Development Milestone Payment(s) for such Development Milestone Event(s) shall be due at the same time as the Development Milestone Payment for Development Milestone [**]. In the event that Development Milestone Event [**], Development Milestone Event [**] or Development Milestone Event [**] has not yet been achieved at the time of the achievement of Regulatory Milestone Event [**], then such Development Milestone Event shall be deemed to have been achieved and the Development Milestone Payment(s) for such Development Milestone Event(s) shall be due at the same time as the Regulatory Milestone Payment for Regulatory Milestone Event [**].</w:t>
      </w:r>
    </w:p>
    <w:p>
      <w:pPr>
        <w:spacing w:after="0" w:line="142"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 Trials. </w:t>
      </w:r>
      <w:r>
        <w:rPr>
          <w:rFonts w:ascii="Times New Roman" w:cs="Times New Roman" w:eastAsia="Times New Roman" w:hAnsi="Times New Roman"/>
          <w:sz w:val="22"/>
          <w:szCs w:val="22"/>
          <w:color w:val="auto"/>
        </w:rPr>
        <w:t>In the event that Jazz or any of its Affiliates or Sublicensees [**]. By way of example only,</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19" w:lineRule="auto"/>
        <w:tabs>
          <w:tab w:leader="none" w:pos="1939" w:val="left"/>
        </w:tabs>
        <w:numPr>
          <w:ilvl w:val="1"/>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One-Time Payments</w:t>
      </w:r>
      <w:r>
        <w:rPr>
          <w:rFonts w:ascii="Times New Roman" w:cs="Times New Roman" w:eastAsia="Times New Roman" w:hAnsi="Times New Roman"/>
          <w:sz w:val="21"/>
          <w:szCs w:val="21"/>
          <w:color w:val="auto"/>
        </w:rPr>
        <w:t>. Each of the Development Milestone Payments and Regulatory Milestone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in this Section 10.2 shall be paid no more than once with respect to all Licensed Products collectively, and no amounts shall be due hereunder for any subsequent or repeated achievement of any Development Milestone Event or Regulatory Milestone Event by Jazz, its Affiliates or Sublicensees, regardless of the number of Licensed Products with respect to which, or the number of times with respect to any Licensed Product, such Milestone Event occurs. Accordingly, in no event shall the aggregate amount to be paid to Werewolf pursuant to (i) Section 10.2(a) exceed [**] Dollars ($[**]), (ii) Section 10.2(b) exceed</w:t>
      </w:r>
    </w:p>
    <w:p>
      <w:pPr>
        <w:spacing w:after="0" w:line="1" w:lineRule="exact"/>
        <w:rPr>
          <w:rFonts w:ascii="Times New Roman" w:cs="Times New Roman" w:eastAsia="Times New Roman" w:hAnsi="Times New Roman"/>
          <w:sz w:val="21"/>
          <w:szCs w:val="21"/>
          <w:b w:val="1"/>
          <w:bCs w:val="1"/>
          <w:color w:val="auto"/>
        </w:rPr>
      </w:pPr>
    </w:p>
    <w:p>
      <w:pPr>
        <w:ind w:firstLine="8"/>
        <w:spacing w:after="0" w:line="225" w:lineRule="auto"/>
        <w:tabs>
          <w:tab w:leader="none" w:pos="47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 and (iii) Sections 10.2(a) and 10.2(b) combined exceed Five Hundred and Twenty Million Dollars ($520,000,000).</w:t>
      </w:r>
    </w:p>
    <w:p>
      <w:pPr>
        <w:spacing w:after="0" w:line="145"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8"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Reports and Payments</w:t>
      </w:r>
      <w:r>
        <w:rPr>
          <w:rFonts w:ascii="Times New Roman" w:cs="Times New Roman" w:eastAsia="Times New Roman" w:hAnsi="Times New Roman"/>
          <w:sz w:val="22"/>
          <w:szCs w:val="22"/>
          <w:color w:val="auto"/>
        </w:rPr>
        <w:t>. Jazz shall notify Werewolf in writing within [**] after the achievement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Milestone Event and Regulatory Milestone Event set out in this Section 10.2 by Jazz, or any of its Affiliates, and in the case of Sublicensees, within [**] after such Development Milestone Event or Regulatory Milestone Event is achieved by such Sublicensee. Based on this notice, Werewolf shall then issue and send to Jazz the invoice for the appropriate Milestone Payment, which shall be paid by Jazz within [**] of receipt of such invoice.</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Sales-Based Milestone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1304"/>
        <w:spacing w:after="0" w:line="227" w:lineRule="auto"/>
        <w:tabs>
          <w:tab w:leader="none" w:pos="193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Sales Milestones</w:t>
      </w:r>
      <w:r>
        <w:rPr>
          <w:rFonts w:ascii="Times New Roman" w:cs="Times New Roman" w:eastAsia="Times New Roman" w:hAnsi="Times New Roman"/>
          <w:sz w:val="22"/>
          <w:szCs w:val="22"/>
          <w:color w:val="auto"/>
        </w:rPr>
        <w:t>. Jazz shall pay to Werewolf the one-time sales milestone payments set out below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Net Sales of all Licensed Products (combined) in the relevant jurisdiction reaches the respective thresholds (each, a “</w:t>
      </w:r>
      <w:r>
        <w:rPr>
          <w:rFonts w:ascii="Times New Roman" w:cs="Times New Roman" w:eastAsia="Times New Roman" w:hAnsi="Times New Roman"/>
          <w:sz w:val="22"/>
          <w:szCs w:val="22"/>
          <w:b w:val="1"/>
          <w:bCs w:val="1"/>
          <w:color w:val="auto"/>
        </w:rPr>
        <w:t>Sales Milestone Payment</w:t>
      </w:r>
      <w:r>
        <w:rPr>
          <w:rFonts w:ascii="Times New Roman" w:cs="Times New Roman" w:eastAsia="Times New Roman" w:hAnsi="Times New Roman"/>
          <w:sz w:val="22"/>
          <w:szCs w:val="22"/>
          <w:color w:val="auto"/>
        </w:rPr>
        <w:t>” and a “</w:t>
      </w:r>
      <w:r>
        <w:rPr>
          <w:rFonts w:ascii="Times New Roman" w:cs="Times New Roman" w:eastAsia="Times New Roman" w:hAnsi="Times New Roman"/>
          <w:sz w:val="22"/>
          <w:szCs w:val="22"/>
          <w:b w:val="1"/>
          <w:bCs w:val="1"/>
          <w:color w:val="auto"/>
        </w:rPr>
        <w:t>Sales Milestone Event,</w:t>
      </w:r>
      <w:r>
        <w:rPr>
          <w:rFonts w:ascii="Times New Roman" w:cs="Times New Roman" w:eastAsia="Times New Roman" w:hAnsi="Times New Roman"/>
          <w:sz w:val="22"/>
          <w:szCs w:val="22"/>
          <w:color w:val="auto"/>
        </w:rPr>
        <w:t>” respectively), in accordance with this Section 10.3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payment provisions in Article 11 and following receipt of the relevant invoice from Werewolf as further described in Section 10.3(d).</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960" w:type="dxa"/>
            <w:vAlign w:val="bottom"/>
            <w:tcBorders>
              <w:top w:val="single" w:sz="8" w:color="auto"/>
              <w:left w:val="single" w:sz="8" w:color="auto"/>
              <w:bottom w:val="single" w:sz="8" w:color="auto"/>
              <w:right w:val="single" w:sz="8" w:color="auto"/>
            </w:tcBorders>
            <w:shd w:val="clear" w:color="auto" w:fill="F2F2F2"/>
          </w:tcPr>
          <w:p>
            <w:pPr>
              <w:ind w:left="324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3280" w:type="dxa"/>
            <w:vAlign w:val="bottom"/>
            <w:tcBorders>
              <w:top w:val="single" w:sz="8" w:color="auto"/>
              <w:bottom w:val="single" w:sz="8" w:color="auto"/>
              <w:right w:val="single" w:sz="8" w:color="auto"/>
            </w:tcBorders>
            <w:shd w:val="clear" w:color="auto" w:fill="F2F2F2"/>
          </w:tcPr>
          <w:p>
            <w:pPr>
              <w:ind w:left="74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196"/>
        </w:trPr>
        <w:tc>
          <w:tcPr>
            <w:tcW w:w="796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Annual Net Sales of all Licensed Products in the United States first exceed [**] Dollars</w:t>
            </w:r>
          </w:p>
        </w:tc>
        <w:tc>
          <w:tcPr>
            <w:tcW w:w="3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United States first exceed [**] Dollars</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United States first exceed [**] Dollars</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United States first exceed [**] Dollars</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United States first exceed [**] Dollars</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Rest of the Territory first exceed [**]</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Rest of the Territory first exceed [**]</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Rest of the Territory first exceed [**]</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3280" w:type="dxa"/>
            <w:vAlign w:val="bottom"/>
            <w:tcBorders>
              <w:bottom w:val="single" w:sz="8" w:color="auto"/>
              <w:right w:val="single" w:sz="8" w:color="auto"/>
            </w:tcBorders>
          </w:tcPr>
          <w:p>
            <w:pPr>
              <w:spacing w:after="0"/>
              <w:rPr>
                <w:sz w:val="24"/>
                <w:szCs w:val="24"/>
                <w:color w:val="auto"/>
              </w:rPr>
            </w:pPr>
          </w:p>
        </w:tc>
      </w:tr>
      <w:tr>
        <w:trPr>
          <w:trHeight w:val="197"/>
        </w:trPr>
        <w:tc>
          <w:tcPr>
            <w:tcW w:w="796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Annual Net Sales of all Licensed Products in the Rest of the Territory first exceed [**]</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w:t>
            </w:r>
          </w:p>
        </w:tc>
      </w:tr>
      <w:tr>
        <w:trPr>
          <w:trHeight w:val="283"/>
        </w:trPr>
        <w:tc>
          <w:tcPr>
            <w:tcW w:w="7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3280" w:type="dxa"/>
            <w:vAlign w:val="bottom"/>
            <w:tcBorders>
              <w:bottom w:val="single" w:sz="8" w:color="auto"/>
              <w:right w:val="single" w:sz="8" w:color="auto"/>
            </w:tcBorders>
          </w:tcPr>
          <w:p>
            <w:pPr>
              <w:spacing w:after="0"/>
              <w:rPr>
                <w:sz w:val="24"/>
                <w:szCs w:val="24"/>
                <w:color w:val="auto"/>
              </w:rPr>
            </w:pPr>
          </w:p>
        </w:tc>
      </w:tr>
      <w:tr>
        <w:trPr>
          <w:trHeight w:val="264"/>
        </w:trPr>
        <w:tc>
          <w:tcPr>
            <w:tcW w:w="7960" w:type="dxa"/>
            <w:vAlign w:val="bottom"/>
            <w:tcBorders>
              <w:left w:val="single" w:sz="8" w:color="auto"/>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Total Sales Milestone Payments for all Licensed Products</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$740,000,000</w:t>
            </w:r>
          </w:p>
        </w:tc>
      </w:tr>
    </w:tbl>
    <w:p>
      <w:pPr>
        <w:spacing w:after="0" w:line="293" w:lineRule="exact"/>
        <w:rPr>
          <w:sz w:val="20"/>
          <w:szCs w:val="20"/>
          <w:color w:val="auto"/>
        </w:rPr>
      </w:pPr>
    </w:p>
    <w:p>
      <w:pPr>
        <w:jc w:val="both"/>
        <w:ind w:firstLine="1304"/>
        <w:spacing w:after="0" w:line="221" w:lineRule="auto"/>
        <w:tabs>
          <w:tab w:leader="none" w:pos="193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One-Time Payments</w:t>
      </w:r>
      <w:r>
        <w:rPr>
          <w:rFonts w:ascii="Times New Roman" w:cs="Times New Roman" w:eastAsia="Times New Roman" w:hAnsi="Times New Roman"/>
          <w:sz w:val="22"/>
          <w:szCs w:val="22"/>
          <w:color w:val="auto"/>
        </w:rPr>
        <w:t>. Each of the foregoing Sales Milestone Payments shall be paid no more than once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no amounts shall be due hereunder for any subsequent or repeated achievement of any Sales Milestone Event by Jazz, its Affiliates or Sublicensees. In no event shall the aggregate amount to be paid to Werewolf pursuant to this Section 10.3 exceed Seven Hundred and Forty Million Dollars ($740,000,000).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jc w:val="both"/>
        <w:ind w:firstLine="1304"/>
        <w:spacing w:after="0" w:line="226" w:lineRule="auto"/>
        <w:tabs>
          <w:tab w:leader="none" w:pos="1941"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Territory-Based Sales</w:t>
      </w:r>
      <w:r>
        <w:rPr>
          <w:rFonts w:ascii="Times New Roman" w:cs="Times New Roman" w:eastAsia="Times New Roman" w:hAnsi="Times New Roman"/>
          <w:sz w:val="21"/>
          <w:szCs w:val="21"/>
          <w:color w:val="auto"/>
        </w:rPr>
        <w:t>. For the avoidance of doubt, references in Section 10.3 and 10.4 to (i) Annual Net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Sales of Licensed Products in the United States shall mean Annual Net Sales of Licensed Products where such sale has, in accordance with the selling party’s accounting standards, consistently applied, been booked in the United States; and (ii) Annual Net Sales of Licensed Products in the Rest of the Territory shall mean Annual Net Sales of Licensed Products where such sale has, in accordance with the selling party’s accounting standards, consistently applied, been booked in the Rest of the Territory. In no event shall the sale of a single unit of Licensed Product shall be booked in both the United States and the Rest of the Territory.</w:t>
      </w:r>
    </w:p>
    <w:p>
      <w:pPr>
        <w:spacing w:after="0" w:line="147" w:lineRule="exact"/>
        <w:rPr>
          <w:rFonts w:ascii="Times New Roman" w:cs="Times New Roman" w:eastAsia="Times New Roman" w:hAnsi="Times New Roman"/>
          <w:sz w:val="21"/>
          <w:szCs w:val="21"/>
          <w:b w:val="1"/>
          <w:bCs w:val="1"/>
          <w:color w:val="auto"/>
        </w:rPr>
      </w:pPr>
    </w:p>
    <w:p>
      <w:pPr>
        <w:jc w:val="both"/>
        <w:ind w:firstLine="1304"/>
        <w:spacing w:after="0" w:line="232" w:lineRule="auto"/>
        <w:tabs>
          <w:tab w:leader="none" w:pos="1938"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 and Payment</w:t>
      </w:r>
      <w:r>
        <w:rPr>
          <w:rFonts w:ascii="Times New Roman" w:cs="Times New Roman" w:eastAsia="Times New Roman" w:hAnsi="Times New Roman"/>
          <w:sz w:val="21"/>
          <w:szCs w:val="21"/>
          <w:color w:val="auto"/>
        </w:rPr>
        <w:t>. Jazz shall notify Werewolf in writing within [**] after the end of the Calendar Year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first achievement, by or on behalf of Jazz or its Affiliates or Sublicensees, of each Sales Milestone Event set forth in this Section 10.3. Following receipt of each such notice, Werewolf shall issue to Jazz an invoice for the applicable Milestone Payment. Jazz shall pay to Werewolf the applicable Milestone Payment within [**] after receipt of Werewolf’s invoice therefor.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Royalty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8" w:lineRule="auto"/>
        <w:tabs>
          <w:tab w:leader="none" w:pos="1939"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Base Royalties for Sales of Licensed Products in the United States</w:t>
      </w:r>
      <w:r>
        <w:rPr>
          <w:rFonts w:ascii="Times New Roman" w:cs="Times New Roman" w:eastAsia="Times New Roman" w:hAnsi="Times New Roman"/>
          <w:sz w:val="21"/>
          <w:szCs w:val="21"/>
          <w:color w:val="auto"/>
        </w:rPr>
        <w:t>. Subject to the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 Agreement including the remainder of this Section 10.4, in consideration for the rights and licenses granted under this Agreement, Jazz shall, during the applicable Royalty Term, pay to Werewolf the following running royalties on Annual Net Sales of all Licensed Products (combined) in the United States by Jazz, its Affiliates and their Sublicensees, in accordance with this Section 10.4 and the payment provisions in Article 11, equal to the following percentages of such Annual Net Sales: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8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Annual Net Sales of all Licensed Product in the United States</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Royalty Rate</w:t>
            </w:r>
          </w:p>
        </w:tc>
        <w:tc>
          <w:tcPr>
            <w:tcW w:w="0" w:type="dxa"/>
            <w:vAlign w:val="bottom"/>
          </w:tcPr>
          <w:p>
            <w:pPr>
              <w:spacing w:after="0"/>
              <w:rPr>
                <w:sz w:val="1"/>
                <w:szCs w:val="1"/>
                <w:color w:val="auto"/>
              </w:rPr>
            </w:pPr>
          </w:p>
        </w:tc>
      </w:tr>
      <w:tr>
        <w:trPr>
          <w:trHeight w:val="56"/>
        </w:trPr>
        <w:tc>
          <w:tcPr>
            <w:tcW w:w="874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United States less than [**] Dollars</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United States greater than or equal to</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 Dollars ($[**]) and less than [**] Dollars ($[**])</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United States greater than or equal to</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 Dollars ($[**])</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(b) Base Royalties for Sales of Licensed Products in the Rest of the Territory</w:t>
      </w:r>
      <w:r>
        <w:rPr>
          <w:rFonts w:ascii="Times New Roman" w:cs="Times New Roman" w:eastAsia="Times New Roman" w:hAnsi="Times New Roman"/>
          <w:sz w:val="22"/>
          <w:szCs w:val="22"/>
          <w:color w:val="auto"/>
        </w:rPr>
        <w:t>. Subject to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this Agreement including the remainder of this Section 10.4, in consideration for the rights and licenses granted under this Agreement, Jazz shall, during the applicable Royalty Term, pay to Werewolf the following running royalties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Annual Net Sales of all Licensed Products (combined) in the Rest of the Territory by Jazz, its Affiliates and their Sublicensees, in accordance with this Section 10.4 and the payment provisions in Article 11, equal to the following percentages of such Annual Net Sales: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8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Annual Net Sales of all Licensed Product in the Rest of the Territory</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Royalty Rate</w:t>
            </w:r>
          </w:p>
        </w:tc>
        <w:tc>
          <w:tcPr>
            <w:tcW w:w="0" w:type="dxa"/>
            <w:vAlign w:val="bottom"/>
          </w:tcPr>
          <w:p>
            <w:pPr>
              <w:spacing w:after="0"/>
              <w:rPr>
                <w:sz w:val="1"/>
                <w:szCs w:val="1"/>
                <w:color w:val="auto"/>
              </w:rPr>
            </w:pPr>
          </w:p>
        </w:tc>
      </w:tr>
      <w:tr>
        <w:trPr>
          <w:trHeight w:val="56"/>
        </w:trPr>
        <w:tc>
          <w:tcPr>
            <w:tcW w:w="874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Rest of the Territory less than [**]</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Rest of the Territory greater than or</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equal to [**] Dollars ($[**]) and less than [**] Dollars ($[**])</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of all Licensed Products in the Rest of the Territory greater than or</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4"/>
        </w:trPr>
        <w:tc>
          <w:tcPr>
            <w:tcW w:w="8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equal to [**] Dollars ($[**])</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74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74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both"/>
        <w:ind w:firstLine="1304"/>
        <w:spacing w:after="0" w:line="216" w:lineRule="auto"/>
        <w:tabs>
          <w:tab w:leader="none" w:pos="1941"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Royalties shall be paid from the First Commercial Sale of such Licensed Product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by or on behalf of Jazz, its Affiliates, or Sublicensees, until the expiration of the Royalty Term for such Licensed Product in such country. After the expiration of the applicable Royalty Term with respect to a Licensed Product in a country, no further royalties shall be due with respect to such Licensed Product in such country and the licenses and rights granted by Werewolf to Jazz under this Agreement with respect to such Licensed Product (and the Licensed Compound(s) included therein) in such country will become fully paid-up, royalty-free, perpetual and irrevocable.</w:t>
      </w:r>
    </w:p>
    <w:p>
      <w:pPr>
        <w:spacing w:after="0" w:line="145"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Adjustments.</w:t>
      </w:r>
    </w:p>
    <w:p>
      <w:pPr>
        <w:spacing w:after="0" w:line="179" w:lineRule="exact"/>
        <w:rPr>
          <w:rFonts w:ascii="Times New Roman" w:cs="Times New Roman" w:eastAsia="Times New Roman" w:hAnsi="Times New Roman"/>
          <w:sz w:val="22"/>
          <w:szCs w:val="22"/>
          <w:b w:val="1"/>
          <w:bCs w:val="1"/>
          <w:color w:val="auto"/>
        </w:rPr>
      </w:pPr>
    </w:p>
    <w:p>
      <w:pPr>
        <w:jc w:val="both"/>
        <w:ind w:firstLine="1952"/>
        <w:spacing w:after="0" w:line="221" w:lineRule="auto"/>
        <w:tabs>
          <w:tab w:leader="none" w:pos="258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 Party Payments</w:t>
      </w:r>
      <w:r>
        <w:rPr>
          <w:rFonts w:ascii="Times New Roman" w:cs="Times New Roman" w:eastAsia="Times New Roman" w:hAnsi="Times New Roman"/>
          <w:sz w:val="22"/>
          <w:szCs w:val="22"/>
          <w:color w:val="auto"/>
        </w:rPr>
        <w:t>. If Jazz, or any of its Affiliates or Sublicensees become obligated to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a Third Party with respect to Intellectual Property Rights owned or controlled by such Third Party that are [**] (“</w:t>
      </w:r>
      <w:r>
        <w:rPr>
          <w:rFonts w:ascii="Times New Roman" w:cs="Times New Roman" w:eastAsia="Times New Roman" w:hAnsi="Times New Roman"/>
          <w:sz w:val="22"/>
          <w:szCs w:val="22"/>
          <w:b w:val="1"/>
          <w:bCs w:val="1"/>
          <w:color w:val="auto"/>
        </w:rPr>
        <w:t>Third Party Payments</w:t>
      </w:r>
      <w:r>
        <w:rPr>
          <w:rFonts w:ascii="Times New Roman" w:cs="Times New Roman" w:eastAsia="Times New Roman" w:hAnsi="Times New Roman"/>
          <w:sz w:val="22"/>
          <w:szCs w:val="22"/>
          <w:color w:val="auto"/>
        </w:rPr>
        <w:t>”), Jazz may deduct [**] percent ([**]%) of the amount payable to each such Third Party from the royalty payable to Werewolf under this Section 10.4.</w:t>
      </w:r>
    </w:p>
    <w:p>
      <w:pPr>
        <w:spacing w:after="0" w:line="148" w:lineRule="exact"/>
        <w:rPr>
          <w:rFonts w:ascii="Times New Roman" w:cs="Times New Roman" w:eastAsia="Times New Roman" w:hAnsi="Times New Roman"/>
          <w:sz w:val="22"/>
          <w:szCs w:val="22"/>
          <w:b w:val="1"/>
          <w:bCs w:val="1"/>
          <w:color w:val="auto"/>
        </w:rPr>
      </w:pPr>
    </w:p>
    <w:p>
      <w:pPr>
        <w:jc w:val="both"/>
        <w:ind w:firstLine="1952"/>
        <w:spacing w:after="0" w:line="221" w:lineRule="auto"/>
        <w:tabs>
          <w:tab w:leader="none" w:pos="2586"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Valid Claim Coverage</w:t>
      </w:r>
      <w:r>
        <w:rPr>
          <w:rFonts w:ascii="Times New Roman" w:cs="Times New Roman" w:eastAsia="Times New Roman" w:hAnsi="Times New Roman"/>
          <w:sz w:val="22"/>
          <w:szCs w:val="22"/>
          <w:color w:val="auto"/>
        </w:rPr>
        <w:t>. If the composition of matter of the Licensed Compound contained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Licensed Product is not Covered by a Valid Claim of a Licensed Patent in the country in which such Licensed Product is sold, then the royalty payable by Jazz with respect to the sale of such Licensed Product in such country shall be reduced by [**] percent ([**]%) of the amount otherwise payable pursuant to this Section 10.4.</w:t>
      </w:r>
    </w:p>
    <w:p>
      <w:pPr>
        <w:spacing w:after="0" w:line="148" w:lineRule="exact"/>
        <w:rPr>
          <w:rFonts w:ascii="Times New Roman" w:cs="Times New Roman" w:eastAsia="Times New Roman" w:hAnsi="Times New Roman"/>
          <w:sz w:val="22"/>
          <w:szCs w:val="22"/>
          <w:b w:val="1"/>
          <w:bCs w:val="1"/>
          <w:color w:val="auto"/>
        </w:rPr>
      </w:pPr>
    </w:p>
    <w:p>
      <w:pPr>
        <w:jc w:val="both"/>
        <w:ind w:firstLine="1952"/>
        <w:spacing w:after="0" w:line="227" w:lineRule="auto"/>
        <w:tabs>
          <w:tab w:leader="none" w:pos="2592"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Generic Version</w:t>
      </w:r>
      <w:r>
        <w:rPr>
          <w:rFonts w:ascii="Times New Roman" w:cs="Times New Roman" w:eastAsia="Times New Roman" w:hAnsi="Times New Roman"/>
          <w:sz w:val="22"/>
          <w:szCs w:val="22"/>
          <w:color w:val="auto"/>
        </w:rPr>
        <w:t>. On a Licensed Product-by-Licensed Product and country-by-country basis, if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Quarter one or more Generic Versions of such Licensed Product is sold in such country, the amount payable to Werewolf pursuant to this Section 10.4 for Net Sales of such Licensed Product in such country shall be reduced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percent ([**]%) for such Calendar Quarter. If such an adjustment is made for [**] Calendar Quarters with respect to such Licensed Product, then such reduction shall continue for the remainder of the applicable Royalty Term for such Licensed Product in such country.</w:t>
      </w:r>
    </w:p>
    <w:p>
      <w:pPr>
        <w:spacing w:after="0" w:line="148" w:lineRule="exact"/>
        <w:rPr>
          <w:sz w:val="20"/>
          <w:szCs w:val="20"/>
          <w:color w:val="auto"/>
        </w:rPr>
      </w:pPr>
    </w:p>
    <w:p>
      <w:pPr>
        <w:jc w:val="both"/>
        <w:ind w:firstLine="1952"/>
        <w:spacing w:after="0" w:line="226" w:lineRule="auto"/>
        <w:tabs>
          <w:tab w:leader="none" w:pos="2580" w:val="left"/>
        </w:tabs>
        <w:numPr>
          <w:ilvl w:val="1"/>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Royalty Floor</w:t>
      </w:r>
      <w:r>
        <w:rPr>
          <w:rFonts w:ascii="Times New Roman" w:cs="Times New Roman" w:eastAsia="Times New Roman" w:hAnsi="Times New Roman"/>
          <w:sz w:val="21"/>
          <w:szCs w:val="21"/>
          <w:color w:val="auto"/>
        </w:rPr>
        <w:t>. Notwithstanding the royalty adjustments set out in this Section 10.4(d) and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13.5 and, if applicable, any reduction in the payments under this Agreement arising from Jazz’s exercise of its alternative remedy set out in Section 17.5, in no event will the aggregate amount of royalties due to Werewolf for a Licensed Product in a country in the Territory in any given Calendar Quarter during the Royalty Term for such Licensed Product in such country be reduced by more than [**] percent ([**]%) of the amount that otherwise would have been due and payable to Werewolf in such Calendar Quarter for such Licensed Product in such country under Section 10.4(a) or Section 10.4b), as applicable.</w:t>
      </w:r>
    </w:p>
    <w:p>
      <w:pPr>
        <w:spacing w:after="0" w:line="147" w:lineRule="exact"/>
        <w:rPr>
          <w:rFonts w:ascii="Times New Roman" w:cs="Times New Roman" w:eastAsia="Times New Roman" w:hAnsi="Times New Roman"/>
          <w:sz w:val="21"/>
          <w:szCs w:val="21"/>
          <w:b w:val="1"/>
          <w:bCs w:val="1"/>
          <w:color w:val="auto"/>
        </w:rPr>
      </w:pPr>
    </w:p>
    <w:p>
      <w:pPr>
        <w:jc w:val="both"/>
        <w:ind w:firstLine="1952"/>
        <w:spacing w:after="0" w:line="227" w:lineRule="auto"/>
        <w:tabs>
          <w:tab w:leader="none" w:pos="2587"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One Royalty</w:t>
      </w:r>
      <w:r>
        <w:rPr>
          <w:rFonts w:ascii="Times New Roman" w:cs="Times New Roman" w:eastAsia="Times New Roman" w:hAnsi="Times New Roman"/>
          <w:sz w:val="22"/>
          <w:szCs w:val="22"/>
          <w:color w:val="auto"/>
        </w:rPr>
        <w:t>. No more than one royalty payment shall be due under this Agreement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sale of a particular Licensed Product (e.g., even if such Licensed Product is Covered by multiple Valid Claims or multiple Licensed Patents or contains, incorporates or comprises multiple Licensed Compounds).</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1"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Reports</w:t>
      </w:r>
      <w:r>
        <w:rPr>
          <w:rFonts w:ascii="Times New Roman" w:cs="Times New Roman" w:eastAsia="Times New Roman" w:hAnsi="Times New Roman"/>
          <w:sz w:val="22"/>
          <w:szCs w:val="22"/>
          <w:color w:val="auto"/>
        </w:rPr>
        <w:t>. Commencing with the Calendar Quarter in which the First Commercial Sale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 occurs in the Territory, Jazz shall deliver to Werewolf a report (each, a “</w:t>
      </w:r>
      <w:r>
        <w:rPr>
          <w:rFonts w:ascii="Times New Roman" w:cs="Times New Roman" w:eastAsia="Times New Roman" w:hAnsi="Times New Roman"/>
          <w:sz w:val="22"/>
          <w:szCs w:val="22"/>
          <w:b w:val="1"/>
          <w:bCs w:val="1"/>
          <w:color w:val="auto"/>
        </w:rPr>
        <w:t>Royalty Report</w:t>
      </w:r>
      <w:r>
        <w:rPr>
          <w:rFonts w:ascii="Times New Roman" w:cs="Times New Roman" w:eastAsia="Times New Roman" w:hAnsi="Times New Roman"/>
          <w:sz w:val="22"/>
          <w:szCs w:val="22"/>
          <w:color w:val="auto"/>
        </w:rPr>
        <w:t>”) setting out the following details as reasonably necessary to calculate the payments due under this Section 10.4:</w:t>
      </w:r>
    </w:p>
    <w:p>
      <w:pPr>
        <w:spacing w:after="0" w:line="150"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calculation of Net Sales of the Licensed Products in such Calendar Quarter;</w:t>
      </w:r>
    </w:p>
    <w:p>
      <w:pPr>
        <w:spacing w:after="0" w:line="179" w:lineRule="exact"/>
        <w:rPr>
          <w:rFonts w:ascii="Times New Roman" w:cs="Times New Roman" w:eastAsia="Times New Roman" w:hAnsi="Times New Roman"/>
          <w:sz w:val="22"/>
          <w:szCs w:val="22"/>
          <w:b w:val="1"/>
          <w:bCs w:val="1"/>
          <w:color w:val="auto"/>
        </w:rPr>
      </w:pPr>
    </w:p>
    <w:p>
      <w:pPr>
        <w:ind w:right="20" w:firstLine="1952"/>
        <w:spacing w:after="0" w:line="236" w:lineRule="auto"/>
        <w:tabs>
          <w:tab w:leader="none" w:pos="2586"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royalties, payable in United States Dollars, which shall have accrued under this Agreement based upon such Net Sales of Licensed Products; and</w:t>
      </w:r>
    </w:p>
    <w:p>
      <w:pPr>
        <w:spacing w:after="0" w:line="150"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92"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exchange rates used in determining the amount of royalties payable in United States Dollars, as more specifically provided in Section 11.1.</w:t>
      </w:r>
    </w:p>
    <w:p>
      <w:pPr>
        <w:spacing w:after="0" w:line="15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Royalty Reports shall be due [**] following the end of each such Calendar Quarter during the term of this Agreement. Promptly following the delivery of the applicable Royalty Report, Werewolf will invoice Jazz for the royalties due to Werewolf under Section 10.4 above with respect to the Net Sales in the Territory in such Calendar Quarter. Jazz will pay such amounts to Werewolf within [**] following Jazz’s receipt of such invoice. Notwithstanding Section 1.91 above, if Jazz receives substantial royalties from a Sublicensee based upon Net Sales of Licensed Products by or under authority of such sublicense, at its election, Jazz may substitute the corresponding definition of “net sales” from its agreement with such Sublicensee (as it applies to Licensed Products,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for the definition of Net Sales in Section 1.91 for purposes of calculating the Annual Net Sales of the Sublicensee under Section 10.4 above, to the extent such Sections are otherwise applicable.</w:t>
      </w:r>
    </w:p>
    <w:p>
      <w:pPr>
        <w:spacing w:after="0" w:line="180"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 BOOKS AND RECORDS</w:t>
      </w:r>
    </w:p>
    <w:p>
      <w:pPr>
        <w:spacing w:after="0" w:line="17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11.1 Exchange Rate; Manner and Place of Payment</w:t>
      </w:r>
      <w:r>
        <w:rPr>
          <w:rFonts w:ascii="Times New Roman" w:cs="Times New Roman" w:eastAsia="Times New Roman" w:hAnsi="Times New Roman"/>
          <w:sz w:val="22"/>
          <w:szCs w:val="22"/>
          <w:color w:val="auto"/>
        </w:rPr>
        <w:t>. All invoices issued hereunder shall be, and all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payable, in Dollars. With respect to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any Development cost incurred made in any currency other than Dollars, Werewolf shall convert the amount to Dollars using the monthly average exchange rate between each currency of origin and Dollars as reported by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(New York edition), or an equivalent resource as agreed by the Parties in writing. With respect to conversion of any Net Sales made in any currency other than Dollars, Jazz shall convert the amount to Dollars using the exchange rate mechanism generally applied by Jazz in preparing its financial statements for the applicable Calendar Quarter; provided, that such mechanism is in compliance with GAAP. All payments owed to Werewolf under this Agreement shall be made by wire transfer in immediately available funds to a bank and account designated in writing by Werewolf, unless otherwise specified in writing by Werewolf.</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11.2 Late Payments</w:t>
      </w:r>
      <w:r>
        <w:rPr>
          <w:rFonts w:ascii="Times New Roman" w:cs="Times New Roman" w:eastAsia="Times New Roman" w:hAnsi="Times New Roman"/>
          <w:sz w:val="22"/>
          <w:szCs w:val="22"/>
          <w:color w:val="auto"/>
        </w:rPr>
        <w:t>. In the event that any payment due under this Agreement is not paid when due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provisions of this Agreement, without limiting any other right or remedy of Werewolf, Jazz shall pay interest on the overdue sum accrued from the due date until the date of payment of the overdue amount, whether before or after judgment. Interest under this Section 11.2 will accrue each day at [**], or the maximum applicable legal rate, if less, calculated based on the total number of days payment is delinquent.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i w:val="1"/>
          <w:iCs w:val="1"/>
          <w:color w:val="auto"/>
        </w:rPr>
        <w:t>.</w:t>
      </w:r>
    </w:p>
    <w:p>
      <w:pPr>
        <w:spacing w:after="0" w:line="183" w:lineRule="exact"/>
        <w:rPr>
          <w:sz w:val="20"/>
          <w:szCs w:val="20"/>
          <w:color w:val="auto"/>
        </w:rPr>
      </w:pPr>
    </w:p>
    <w:p>
      <w:pPr>
        <w:jc w:val="both"/>
        <w:ind w:left="1060" w:firstLine="1297"/>
        <w:spacing w:after="0" w:line="225" w:lineRule="auto"/>
        <w:tabs>
          <w:tab w:leader="none" w:pos="324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the understanding of the Parties as of the Effective Date that no value-added, goods and services sales, use or similar taxes, levies or charges, will be imposed by applicable taxing authorities with respect to provision of the Werewolf Development Activities to Jazz or any payment hereunder (“</w:t>
      </w:r>
      <w:r>
        <w:rPr>
          <w:rFonts w:ascii="Times New Roman" w:cs="Times New Roman" w:eastAsia="Times New Roman" w:hAnsi="Times New Roman"/>
          <w:sz w:val="22"/>
          <w:szCs w:val="22"/>
          <w:b w:val="1"/>
          <w:bCs w:val="1"/>
          <w:color w:val="auto"/>
        </w:rPr>
        <w:t>Service Taxes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b w:val="1"/>
          <w:bCs w:val="1"/>
          <w:color w:val="auto"/>
        </w:rPr>
      </w:pPr>
    </w:p>
    <w:p>
      <w:pPr>
        <w:jc w:val="both"/>
        <w:ind w:left="1060" w:firstLine="1297"/>
        <w:spacing w:after="0" w:line="215" w:lineRule="auto"/>
        <w:tabs>
          <w:tab w:leader="none" w:pos="3241"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in this Agreement to the contrary, if an action (including any assignment of this Agreement, any transfer of payment obligations hereunder, or any failure to comply with Applicable Laws or filing or record retention requirements) by Werewolf leads to the imposition of Service Taxes that would not have been imposed in the absence of such action or in an increase in such liability above the liability that would have been imposed in the absence of such action, then Werewolf shall bear responsibility for such Service Taxes.</w:t>
      </w:r>
    </w:p>
    <w:p>
      <w:pPr>
        <w:spacing w:after="0" w:line="148" w:lineRule="exact"/>
        <w:rPr>
          <w:sz w:val="20"/>
          <w:szCs w:val="20"/>
          <w:color w:val="auto"/>
        </w:rPr>
      </w:pPr>
    </w:p>
    <w:p>
      <w:pPr>
        <w:jc w:val="both"/>
        <w:ind w:left="1060"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Notwithstanding any other provision of this Agreement, Jazz shall be entitled to deduct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 from any payments such amounts as it is required to deduct and withhold pursuant to any tax laws of any jurisdiction or any regulation of any taxing authority thereof. To the extent such amounts are deducted, withheld and paid by or on behalf of Jazz to the appropriate taxing authority, such amounts shall be treated for all purposes of this Agreement as having been paid to Werewolf. Jazz shall provide Werewolf with official receipts issued by the appropriate governmental agency to Jazz. Each Party shall provide to the other Party such assistance as may be reasonably requested in connection with any application to qualify for the benefit of a reduced rate of withholding taxation, under the terms of any income tax treaty between Ireland and other jurisdictions.</w:t>
      </w:r>
    </w:p>
    <w:p>
      <w:pPr>
        <w:spacing w:after="0" w:line="148"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12.1 Financial Records of Werewolf; Audits by Jazz</w:t>
      </w:r>
      <w:r>
        <w:rPr>
          <w:rFonts w:ascii="Times New Roman" w:cs="Times New Roman" w:eastAsia="Times New Roman" w:hAnsi="Times New Roman"/>
          <w:sz w:val="22"/>
          <w:szCs w:val="22"/>
          <w:color w:val="auto"/>
        </w:rPr>
        <w:t>. Werewolf (on behalf of itself and its Affiliates) shall maintain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accurate and complete records and accounts relating to performance of each Werewolf Development Activity, and, in accordance with generally accepted accounting principles, complete and accurate records of all Werewolf Reimbursable Costs incurred, including all supporting evidence, sufficient to document those amounts invoiced to Jazz for at least [**] following the date of the invoice (“</w:t>
      </w:r>
      <w:r>
        <w:rPr>
          <w:rFonts w:ascii="Times New Roman" w:cs="Times New Roman" w:eastAsia="Times New Roman" w:hAnsi="Times New Roman"/>
          <w:sz w:val="22"/>
          <w:szCs w:val="22"/>
          <w:b w:val="1"/>
          <w:bCs w:val="1"/>
          <w:color w:val="auto"/>
        </w:rPr>
        <w:t>Financial Records</w:t>
      </w:r>
      <w:r>
        <w:rPr>
          <w:rFonts w:ascii="Times New Roman" w:cs="Times New Roman" w:eastAsia="Times New Roman" w:hAnsi="Times New Roman"/>
          <w:sz w:val="22"/>
          <w:szCs w:val="22"/>
          <w:color w:val="auto"/>
        </w:rPr>
        <w:t>”). Upon Jazz’s written request and expense, Werewolf shall permit Jazz or an independent public accountant (subject to execution of a written confidentiality agreement on customary terms) to audit the Financial Records to verify Werewolf’s compliance with this Agreement, such audit to occur at Werewolf’s place of business during normal business hours and at Jazz’s expense except to the extent specified in the last sentence of this Section 12.1. Jazz shall be entitled to perform such audits of Financial Records no more than [**] period (except for cause) during the Term. If Jazz discovers as a result of any such audit that Werewolf overcharged Jazz, Werewolf shall promptly refund to Jazz the amount of any overcharging. In addition, if the amount of any such overcharge exceeds [**] percent ([**]%) of the amounts actually due during the period being audited, Werewolf shall reimburse Jazz for all costs and expenses incurred in such audit.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12.2 Financial Records of Jazz; Audits by Werewolf</w:t>
      </w:r>
      <w:r>
        <w:rPr>
          <w:rFonts w:ascii="Times New Roman" w:cs="Times New Roman" w:eastAsia="Times New Roman" w:hAnsi="Times New Roman"/>
          <w:sz w:val="21"/>
          <w:szCs w:val="21"/>
          <w:color w:val="auto"/>
        </w:rPr>
        <w:t>. Jazz shall keep, and shall require its Affiliates to keep, accurate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pertaining to the sale or other disposition of Licensed Products in sufficient detail to permit Werewolf to determine or confirm the occurrence of any Sales Milestone Event and the accuracy of Net Sales reported, and the applicable Sales Milestone Payments and royalty payments due hereunder. Jazz will keep such books and records for [**] following the Calendar Year to which they pertain, or such longer period of time as may be required by Applicable Laws. Upon reasonable prior notice and during regular business hours at such place or places where such records are customarily kept, Jazz’s records may be inspected on Werewolf’s behalf by an independent certified public accountant (the “</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selected by Werewolf and reasonably acceptable to Jazz for the sole purpose of verifying for Werewolf the accuracy of the financial reports furnished by Jazz pursuant to this Agreement or of any payments made, or required to be made, to Werewolf pursuant to this Agreement. Such audits may not (i) be conducted for any Calendar Year ending more than [**] prior to the date of such request, (ii) be conducted more than</w:t>
      </w:r>
    </w:p>
    <w:p>
      <w:pPr>
        <w:spacing w:after="0" w:line="5" w:lineRule="exact"/>
        <w:rPr>
          <w:sz w:val="20"/>
          <w:szCs w:val="20"/>
          <w:color w:val="auto"/>
        </w:rPr>
      </w:pPr>
    </w:p>
    <w:p>
      <w:pPr>
        <w:jc w:val="both"/>
        <w:ind w:firstLine="8"/>
        <w:spacing w:after="0" w:line="208" w:lineRule="auto"/>
        <w:tabs>
          <w:tab w:leader="none" w:pos="4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(iii) be repeated for any [**]. Werewolf shall require the Auditor to provide to Jazz an audit report containing its conclusions regarding any audit, and specifying whether the amounts paid were correct or, if incorrect, the amount of any underpayment or overpayment. The Auditor shall provide to Jazz a preliminary copy of its audit report and shall discuss with Jazz any issues or discrepancies that Jazz identifies. If such audit establishes that additional payments are properly owed to Werewolf in accordance with this Agreement during the period covered by any audit pursuant to this Section 12.2, Jazz shall remit to Werewolf within [**] of the date on which Werewolf delivers to Jazz an invoice for such amounts: (i) the amount of such additional milestone payment or royalties; and (ii) interest on such amount which shall be calculated pursuant to Section 11.2. In the event such audit establishes that amounts were overpaid by Jazz during such period, the amount of such overpayment shall promptly be refunded to Jazz. The fees charged by the independent accountant in connection with any audit pursuant to this Section 12.2 shall be paid by Werewolf; provided, however, that if a discrepancy in favor of Werewolf of more than [**] percent ([**]%) of the payments due hereunder for the period being audited is established, then Jazz shall pay the reasonable fees and expenses charged by such Auditor in connection with such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12.3 Confidential Financial Information</w:t>
      </w:r>
      <w:r>
        <w:rPr>
          <w:rFonts w:ascii="Times New Roman" w:cs="Times New Roman" w:eastAsia="Times New Roman" w:hAnsi="Times New Roman"/>
          <w:sz w:val="22"/>
          <w:szCs w:val="22"/>
          <w:color w:val="auto"/>
        </w:rPr>
        <w:t>. Each Party shall treat all financial information of the other Party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under this Article 12 as confidential. The Auditor shall enter into confidentiality terms acceptable to both Parties before any audit under Section 12.2 is conducted. The Auditor shall not disclose the audited Party’s Confidential Information to the auditing Party, except to the extent such disclosure is necessary to verify the accuracy of the financial reports furnished by the audited Party or the amount of payments to or by the audited Party under this Agreement.</w:t>
      </w:r>
    </w:p>
    <w:p>
      <w:pPr>
        <w:spacing w:after="0" w:line="147"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13.1 Patent Working Group</w:t>
      </w:r>
      <w:r>
        <w:rPr>
          <w:rFonts w:ascii="Times New Roman" w:cs="Times New Roman" w:eastAsia="Times New Roman" w:hAnsi="Times New Roman"/>
          <w:sz w:val="22"/>
          <w:szCs w:val="22"/>
          <w:color w:val="auto"/>
        </w:rPr>
        <w:t>. The JSC shall establish a working group to assist in the communication, identification,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filing of Product Patents (the “</w:t>
      </w:r>
      <w:r>
        <w:rPr>
          <w:rFonts w:ascii="Times New Roman" w:cs="Times New Roman" w:eastAsia="Times New Roman" w:hAnsi="Times New Roman"/>
          <w:sz w:val="22"/>
          <w:szCs w:val="22"/>
          <w:b w:val="1"/>
          <w:bCs w:val="1"/>
          <w:color w:val="auto"/>
        </w:rPr>
        <w:t>Patent Working Group</w:t>
      </w:r>
      <w:r>
        <w:rPr>
          <w:rFonts w:ascii="Times New Roman" w:cs="Times New Roman" w:eastAsia="Times New Roman" w:hAnsi="Times New Roman"/>
          <w:sz w:val="22"/>
          <w:szCs w:val="22"/>
          <w:color w:val="auto"/>
        </w:rPr>
        <w:t xml:space="preserve">”), and each Party (through its representatives on the Patent Working Group) shall use diligent efforts to ensure that there are sufficient Product Patents claiming each Licensed Compound and Licensed Product, including by Werewolf filing divisional or continuing applications of Licensed Patents with focused claims that would qualify as Product Patents. If the Patent Working Group determines that is not feasible or advisable to pursue a Product Patent in a given country due to patent prosecution regulations in such country that are more restrictive than those in the United States, then the Patent Working Group shall devise a plan for providing Jazz with patent prosecution, maintenance and enforcement rights that are as close as possible to what it would have had if it were feasible or advisable to pursue a Product Patent. Until such plan is agreed, at Jazz’s request, Werewolf shall (a) file one or more claims in a Licensed Patent in such country that solely claim the composition of matter, manufacture or method of use of one or more Licensed Compounds or Licensed Products and (b) permit Jazz to control the prosecution (including amendment), maintenance and enforcement of such claims as if such claims were included in a Product Patent. </w:t>
      </w:r>
      <w:r>
        <w:rPr>
          <w:rFonts w:ascii="Times New Roman" w:cs="Times New Roman" w:eastAsia="Times New Roman" w:hAnsi="Times New Roman"/>
          <w:sz w:val="19"/>
          <w:szCs w:val="19"/>
          <w:color w:val="auto"/>
        </w:rPr>
        <w:t>The Patent Working Group shall also agree upon a strategy to [**], and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strategy to include [**] </w:t>
      </w:r>
      <w:r>
        <w:rPr>
          <w:rFonts w:ascii="Times New Roman" w:cs="Times New Roman" w:eastAsia="Times New Roman" w:hAnsi="Times New Roman"/>
          <w:sz w:val="21"/>
          <w:szCs w:val="21"/>
          <w:color w:val="auto"/>
        </w:rPr>
        <w:t>(a) [**] and (b) [**], including any [**] (i) [**], (ii) [**], (iii) [**], and (iv) [**]. The Patent Working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Group shall meet as necessary to perform its responsibilities or as otherwise directed by the JSC and shall continue to exist only for so long as the JSC determines it is reasonably necessary.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b w:val="1"/>
          <w:bCs w:val="1"/>
          <w:color w:val="auto"/>
        </w:rPr>
        <w:t>Ownership of Intellectual Property.</w:t>
      </w:r>
    </w:p>
    <w:p>
      <w:pPr>
        <w:spacing w:after="0" w:line="179" w:lineRule="exact"/>
        <w:rPr>
          <w:sz w:val="20"/>
          <w:szCs w:val="20"/>
          <w:color w:val="auto"/>
        </w:rPr>
      </w:pPr>
    </w:p>
    <w:p>
      <w:pPr>
        <w:jc w:val="both"/>
        <w:ind w:left="1060" w:firstLine="1297"/>
        <w:spacing w:after="0" w:line="218" w:lineRule="auto"/>
        <w:tabs>
          <w:tab w:leader="none" w:pos="3242"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United States Law</w:t>
      </w:r>
      <w:r>
        <w:rPr>
          <w:rFonts w:ascii="Times New Roman" w:cs="Times New Roman" w:eastAsia="Times New Roman" w:hAnsi="Times New Roman"/>
          <w:sz w:val="22"/>
          <w:szCs w:val="22"/>
          <w:color w:val="auto"/>
        </w:rPr>
        <w:t>. For purposes of establishing the Parties’ respective ownership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conceived, discovered, developed, or otherwise made under this Agreement, inventorship of Information and inventions conceived, discovered, developed, or otherwise made under this Agreement shall be determined in accordance with Applicable Law in the United States as such law exists from time to time, irrespective of where such conception, discovery, development or making occurs.</w:t>
      </w:r>
    </w:p>
    <w:p>
      <w:pPr>
        <w:spacing w:after="0" w:line="147" w:lineRule="exact"/>
        <w:rPr>
          <w:rFonts w:ascii="Times New Roman" w:cs="Times New Roman" w:eastAsia="Times New Roman" w:hAnsi="Times New Roman"/>
          <w:sz w:val="22"/>
          <w:szCs w:val="22"/>
          <w:b w:val="1"/>
          <w:bCs w:val="1"/>
          <w:color w:val="auto"/>
        </w:rPr>
      </w:pPr>
    </w:p>
    <w:p>
      <w:pPr>
        <w:ind w:left="1060" w:firstLine="1297"/>
        <w:spacing w:after="0" w:line="238" w:lineRule="auto"/>
        <w:tabs>
          <w:tab w:leader="none" w:pos="3241"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Werewolf Ownership</w:t>
      </w:r>
      <w:r>
        <w:rPr>
          <w:rFonts w:ascii="Times New Roman" w:cs="Times New Roman" w:eastAsia="Times New Roman" w:hAnsi="Times New Roman"/>
          <w:sz w:val="22"/>
          <w:szCs w:val="22"/>
          <w:color w:val="auto"/>
        </w:rPr>
        <w:t>. As between the Parties, Werewolf shall solely own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Werewolf Development IP.</w:t>
      </w:r>
    </w:p>
    <w:p>
      <w:pPr>
        <w:spacing w:after="0" w:line="146" w:lineRule="exact"/>
        <w:rPr>
          <w:sz w:val="20"/>
          <w:szCs w:val="20"/>
          <w:color w:val="auto"/>
        </w:rPr>
      </w:pPr>
    </w:p>
    <w:p>
      <w:pPr>
        <w:jc w:val="both"/>
        <w:ind w:left="1060"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(c)Jazz Ownership</w:t>
      </w:r>
      <w:r>
        <w:rPr>
          <w:rFonts w:ascii="Times New Roman" w:cs="Times New Roman" w:eastAsia="Times New Roman" w:hAnsi="Times New Roman"/>
          <w:sz w:val="22"/>
          <w:szCs w:val="22"/>
          <w:color w:val="auto"/>
        </w:rPr>
        <w:t>. As between the Parties, Jazz or an Affiliate designated by Jazz shall solely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Jazz Development IP, and Werewolf hereby assigns all of its right, title and interest in and to any Jazz Development IP to Jazz.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Maintenance and Prosecution of Patents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400" w:firstLine="1297"/>
        <w:spacing w:after="0" w:line="219" w:lineRule="auto"/>
        <w:tabs>
          <w:tab w:leader="none" w:pos="2582"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Werewolf Patents. </w:t>
      </w:r>
      <w:r>
        <w:rPr>
          <w:rFonts w:ascii="Times New Roman" w:cs="Times New Roman" w:eastAsia="Times New Roman" w:hAnsi="Times New Roman"/>
          <w:sz w:val="21"/>
          <w:szCs w:val="21"/>
          <w:color w:val="auto"/>
        </w:rPr>
        <w:t>Werewolf shall have the first right, but not the obligation, to prepare,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prosecute, and maintain worldwide the Licensed Patents that are not Product Patents, at Werewolf’s sole cost and expense, using patent counsel approved by Jazz, such approval not to be unreasonably withheld, conditioned or delayed. Werewolf shall ensure that the Werewolf Development Patents do not disclose or claim any Jazz Development Know-How. Werewolf shall keep Jazz fully informed of all steps with regard to the preparation, filing, prosecution, and maintenance of such Licensed Patents and shall perform all such actions in good faith. Werewolf shall provide Jazz with a copy of all material communications to and from the patent authorities regarding such Licensed Patents, including drafts of any filings or responses to be made to such patent authorities sufficiently in advance of submitting such filings or responses so as to allow Jazz a reasonable opportunity to review and comment thereon. Werewolf shall consider in good faith Jazz’s requests and suggestions with respect to such drafts and with respect to strategies for filing and prosecuting such Licensed Patents. If Werewolf, during the Term, determines in its sole discretion to abandon or not maintain any of such Licensed Patents in the Territory, then Werewolf shall provide Jazz with prior written notice sufficiently in advance of any abandonment to enable Jazz, at its sole discretion, to maintain such Licensed Patents and assume the prosecution, at its sole cost and expense, and on receipt of such notice, Werewolf shall transfer such prosecution to Jazz, provide all relevant documentation and perform all such actions as Jazz may reasonably request to allow a complete and efficient transfer of such Patents.</w:t>
      </w:r>
    </w:p>
    <w:p>
      <w:pPr>
        <w:spacing w:after="0" w:line="146" w:lineRule="exact"/>
        <w:rPr>
          <w:sz w:val="20"/>
          <w:szCs w:val="20"/>
          <w:color w:val="auto"/>
        </w:rPr>
      </w:pPr>
    </w:p>
    <w:p>
      <w:pPr>
        <w:jc w:val="both"/>
        <w:ind w:left="400" w:firstLine="1296"/>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1"/>
          <w:szCs w:val="21"/>
          <w:b w:val="1"/>
          <w:bCs w:val="1"/>
          <w:color w:val="auto"/>
        </w:rPr>
        <w:t>Jazz Patents</w:t>
      </w:r>
      <w:r>
        <w:rPr>
          <w:rFonts w:ascii="Times New Roman" w:cs="Times New Roman" w:eastAsia="Times New Roman" w:hAnsi="Times New Roman"/>
          <w:sz w:val="21"/>
          <w:szCs w:val="21"/>
          <w:color w:val="auto"/>
        </w:rPr>
        <w:t>. Jazz shall have the sole right, but not the obligation, to prepare, file, prosecute,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maintain the Jazz Background Patents and the Jazz Development Patents worldwide, at Jazz’s sole cost and expense. Jazz shall ensure that the Jazz Development Patents do not disclose or claim any Werewolf Development Know-How.</w:t>
      </w:r>
    </w:p>
    <w:p>
      <w:pPr>
        <w:spacing w:after="0" w:line="356" w:lineRule="exact"/>
        <w:rPr>
          <w:sz w:val="20"/>
          <w:szCs w:val="20"/>
          <w:color w:val="auto"/>
        </w:rPr>
      </w:pPr>
    </w:p>
    <w:p>
      <w:pPr>
        <w:jc w:val="both"/>
        <w:ind w:left="400" w:firstLine="1296"/>
        <w:spacing w:after="0" w:line="217" w:lineRule="auto"/>
        <w:rPr>
          <w:sz w:val="20"/>
          <w:szCs w:val="20"/>
          <w:color w:val="auto"/>
        </w:rPr>
      </w:pPr>
      <w:r>
        <w:rPr>
          <w:rFonts w:ascii="Times New Roman" w:cs="Times New Roman" w:eastAsia="Times New Roman" w:hAnsi="Times New Roman"/>
          <w:sz w:val="21"/>
          <w:szCs w:val="21"/>
          <w:b w:val="1"/>
          <w:bCs w:val="1"/>
          <w:color w:val="auto"/>
        </w:rPr>
        <w:t>(c)Product Patents</w:t>
      </w:r>
      <w:r>
        <w:rPr>
          <w:rFonts w:ascii="Times New Roman" w:cs="Times New Roman" w:eastAsia="Times New Roman" w:hAnsi="Times New Roman"/>
          <w:sz w:val="21"/>
          <w:szCs w:val="21"/>
          <w:color w:val="auto"/>
        </w:rPr>
        <w:t>. Jazz shall have the first right, but not the obligation, to prepare, file, prosecute,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maintain the Product Patents worldwide, at Jazz’s sole cost and expense using patent counsel approved by Werewolf, such approval not to be unreasonably withheld, conditioned or delayed. Jazz shall keep Werewolf fully informed of all steps with regard to the preparation, filing, prosecution, and maintenance of the Product Patents, and shall provide Werewolf with a copy of all material communications to and from the patent authorities regarding the Product Patents, including drafts of any filings or responses to be made to such patent authorities sufficiently in advance of submitting such filings or responses so as to allow Werewolf a reasonable opportunity to review and comment thereon. Jazz shall consider in good faith Werewolf’s requests and suggestions with respect to such drafts and with respect to strategies for filing and prosecuting the Product Patents. Notwithstanding the foregoing, [**]: (i)</w:t>
      </w:r>
    </w:p>
    <w:p>
      <w:pPr>
        <w:spacing w:after="0" w:line="7" w:lineRule="exact"/>
        <w:rPr>
          <w:sz w:val="20"/>
          <w:szCs w:val="20"/>
          <w:color w:val="auto"/>
        </w:rPr>
      </w:pPr>
    </w:p>
    <w:p>
      <w:pPr>
        <w:jc w:val="both"/>
        <w:ind w:left="400" w:firstLine="1"/>
        <w:spacing w:after="0" w:line="218" w:lineRule="auto"/>
        <w:tabs>
          <w:tab w:leader="none" w:pos="84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Patent [**]a Product Patent, [**] or (ii) [**] Product Patent [**] Product Patent. If Jazz, during the Term, determines in its sole discretion to abandon or not maintain any of the Product Patents in the Territory, then Jazz shall provide Werewolf with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580"/>
          </w:cols>
          <w:pgMar w:left="980" w:top="1440" w:right="339" w:bottom="1440" w:gutter="0" w:footer="0" w:header="0"/>
        </w:sectPr>
      </w:pPr>
    </w:p>
    <w:bookmarkStart w:id="110" w:name="page111"/>
    <w:bookmarkEnd w:id="110"/>
    <w:p>
      <w:pPr>
        <w:spacing w:after="0" w:line="198" w:lineRule="exact"/>
        <w:rPr>
          <w:sz w:val="20"/>
          <w:szCs w:val="20"/>
          <w:color w:val="auto"/>
        </w:rPr>
      </w:pPr>
    </w:p>
    <w:p>
      <w:pPr>
        <w:jc w:val="both"/>
        <w:ind w:left="1060"/>
        <w:spacing w:after="0" w:line="220" w:lineRule="auto"/>
        <w:rPr>
          <w:sz w:val="20"/>
          <w:szCs w:val="20"/>
          <w:color w:val="auto"/>
        </w:rPr>
      </w:pPr>
      <w:r>
        <w:rPr>
          <w:rFonts w:ascii="Times New Roman" w:cs="Times New Roman" w:eastAsia="Times New Roman" w:hAnsi="Times New Roman"/>
          <w:sz w:val="22"/>
          <w:szCs w:val="22"/>
          <w:color w:val="auto"/>
        </w:rPr>
        <w:t>notice sufficiently in advance of any abandonment to enable Werewolf, at its sole discretion, to maintain such Product Patent and assume the prosecution, at its sole cost and expense, and on receipt of such notice, Jazz shall transfer such prosecution to Werewolf, provide all relevant documentation and perform all such actions as Werewolf may reasonably request to allow a complete and efficient transfer of such Product Patents.</w:t>
      </w:r>
    </w:p>
    <w:p>
      <w:pPr>
        <w:spacing w:after="0" w:line="148" w:lineRule="exact"/>
        <w:rPr>
          <w:sz w:val="20"/>
          <w:szCs w:val="20"/>
          <w:color w:val="auto"/>
        </w:rPr>
      </w:pPr>
    </w:p>
    <w:p>
      <w:pPr>
        <w:jc w:val="both"/>
        <w:ind w:left="1060" w:firstLine="1297"/>
        <w:spacing w:after="0" w:line="221" w:lineRule="auto"/>
        <w:tabs>
          <w:tab w:leader="none" w:pos="3241"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Patent Term Extension</w:t>
      </w:r>
      <w:r>
        <w:rPr>
          <w:rFonts w:ascii="Times New Roman" w:cs="Times New Roman" w:eastAsia="Times New Roman" w:hAnsi="Times New Roman"/>
          <w:sz w:val="22"/>
          <w:szCs w:val="22"/>
          <w:color w:val="auto"/>
        </w:rPr>
        <w:t>. Jazz shall have the sole right to obtain patent term extensions,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supplementary protection certificates, and equivalents thereof with respect to any Licensed Product in the Territory, including with respect to any Licensed Patent in any country in the Territory, and Werewolf shall reasonably cooperate with Jazz in connection therewith at Jazz’s expense.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Enforcement of Patents.</w:t>
      </w:r>
    </w:p>
    <w:p>
      <w:pPr>
        <w:spacing w:after="0" w:line="179" w:lineRule="exact"/>
        <w:rPr>
          <w:sz w:val="20"/>
          <w:szCs w:val="20"/>
          <w:color w:val="auto"/>
        </w:rPr>
      </w:pPr>
    </w:p>
    <w:p>
      <w:pPr>
        <w:jc w:val="both"/>
        <w:ind w:left="1060" w:firstLine="1297"/>
        <w:spacing w:after="0" w:line="221" w:lineRule="auto"/>
        <w:tabs>
          <w:tab w:leader="none" w:pos="324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Each Party shall promptly notify the other Party in writing of any alleged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infringement of any Licensed Patent, or Jazz Development Patent, in any jurisdiction in the Territory of which such Party becomes aware in connection with the Exploitation of any Licensed Product or any product that competes with a Licensed Product (an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jc w:val="both"/>
        <w:ind w:left="1060" w:firstLine="1297"/>
        <w:spacing w:after="0" w:line="216" w:lineRule="auto"/>
        <w:tabs>
          <w:tab w:leader="none" w:pos="3241"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Werewolf Patents</w:t>
      </w:r>
      <w:r>
        <w:rPr>
          <w:rFonts w:ascii="Times New Roman" w:cs="Times New Roman" w:eastAsia="Times New Roman" w:hAnsi="Times New Roman"/>
          <w:sz w:val="22"/>
          <w:szCs w:val="22"/>
          <w:color w:val="auto"/>
        </w:rPr>
        <w:t>. Werewolf shall have the sole and exclusive right, but not the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enforce and defend worldwide under its control, at its own expense, the Licensed Patents that are not Product Patents,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(i) [**], (ii) [**], and (iii) [**], Werewolf will agree to enforce, at its sole expense, or to permit Jazz to bring and control any enforcement at Jazz’s sole expense, provided that Jazz will allow Werewolf the right to comment on the general legal strategy for such enforcement, and will consider Werewolf’s comments in good faith, prior to commencing implementation of such legal strategy.</w:t>
      </w:r>
    </w:p>
    <w:p>
      <w:pPr>
        <w:spacing w:after="0" w:line="146" w:lineRule="exact"/>
        <w:rPr>
          <w:sz w:val="20"/>
          <w:szCs w:val="20"/>
          <w:color w:val="auto"/>
        </w:rPr>
      </w:pPr>
    </w:p>
    <w:p>
      <w:pPr>
        <w:ind w:left="106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(c)Jazz Patents</w:t>
      </w:r>
      <w:r>
        <w:rPr>
          <w:rFonts w:ascii="Times New Roman" w:cs="Times New Roman" w:eastAsia="Times New Roman" w:hAnsi="Times New Roman"/>
          <w:sz w:val="22"/>
          <w:szCs w:val="22"/>
          <w:color w:val="auto"/>
        </w:rPr>
        <w:t>. Jazz shall have the sole right, but not the obligation, to enforce and defend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worldwide under its control, and at its own expense, the Jazz Background Patents and Jazz Development Patents.</w:t>
      </w:r>
    </w:p>
    <w:p>
      <w:pPr>
        <w:spacing w:after="0" w:line="146" w:lineRule="exact"/>
        <w:rPr>
          <w:sz w:val="20"/>
          <w:szCs w:val="20"/>
          <w:color w:val="auto"/>
        </w:rPr>
      </w:pPr>
    </w:p>
    <w:p>
      <w:pPr>
        <w:ind w:left="3240" w:hanging="883"/>
        <w:spacing w:after="0"/>
        <w:tabs>
          <w:tab w:leader="none" w:pos="324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 Patents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952"/>
        <w:spacing w:after="0" w:line="231" w:lineRule="auto"/>
        <w:tabs>
          <w:tab w:leader="none" w:pos="258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Jazz shall have the first right, but not the obligation, to enforce and defend worldwide under its control, and at its own expense, all Product Patents. Jazz shall allow Werewolf the right to comment on the general legal strategy to be taken in any such enforcement prior to Jazz commencing implementation of such legal strategy and will advise Werewolf of and allow Werewolf to comment on any material changes to the legal strategy before implementation of such changes.</w:t>
      </w:r>
    </w:p>
    <w:p>
      <w:pPr>
        <w:spacing w:after="0" w:line="150" w:lineRule="exact"/>
        <w:rPr>
          <w:rFonts w:ascii="Times New Roman" w:cs="Times New Roman" w:eastAsia="Times New Roman" w:hAnsi="Times New Roman"/>
          <w:sz w:val="21"/>
          <w:szCs w:val="21"/>
          <w:b w:val="1"/>
          <w:bCs w:val="1"/>
          <w:color w:val="auto"/>
        </w:rPr>
      </w:pPr>
    </w:p>
    <w:p>
      <w:pPr>
        <w:jc w:val="both"/>
        <w:ind w:firstLine="1952"/>
        <w:spacing w:after="0" w:line="220" w:lineRule="auto"/>
        <w:tabs>
          <w:tab w:leader="none" w:pos="258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Jazz does not exercise commercially reasonable efforts to enforce or defend any such Infringement with respect to Product Patents (a) within [**] following the first notice provided to it pursuant to this Section 13.4(d), or (b) if earlier, [**] before the time limit, if any, set forth in appropriate laws and regulations for filing of such actions, then Werewolf may enforce such Product Patents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ind w:left="1060"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(e)Cooperation</w:t>
      </w:r>
      <w:r>
        <w:rPr>
          <w:rFonts w:ascii="Times New Roman" w:cs="Times New Roman" w:eastAsia="Times New Roman" w:hAnsi="Times New Roman"/>
          <w:sz w:val="21"/>
          <w:szCs w:val="21"/>
          <w:color w:val="auto"/>
        </w:rPr>
        <w:t>. The Parties agree to cooperate fully in any Infringement action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13.4. Where a Party brings such an action, the other Party shall, where necessary, furnish a power of attorney solely for such purpose or shall join in, or be named as a necessary party to, such action. Unless otherwise set forth herein, the Party entitled to bring any Infringement litigation in accordance with this Section 13.4 shall have the right to settle such claim; provided that no Party shall have the right to settle any Infringement litigation under this Section 13.4 in a manner that (a) would restrict the scope or admit the invalidity or unenforceability of a Licensed Patent or Patent controlled by the other Party, (b) diminishes or has a material adverse effect on the rights or interest of the other Party, or (c) imposes any costs or liability on, or involves any admission by, the other Party, in each case (a) –</w:t>
      </w:r>
    </w:p>
    <w:p>
      <w:pPr>
        <w:spacing w:after="0" w:line="1" w:lineRule="exact"/>
        <w:rPr>
          <w:sz w:val="20"/>
          <w:szCs w:val="20"/>
          <w:color w:val="auto"/>
        </w:rPr>
      </w:pPr>
    </w:p>
    <w:p>
      <w:pPr>
        <w:jc w:val="both"/>
        <w:ind w:left="1060" w:firstLine="1"/>
        <w:spacing w:after="0" w:line="214" w:lineRule="auto"/>
        <w:tabs>
          <w:tab w:leader="none" w:pos="141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express written consent of such other Party, such consent not to be unreasonably withheld, conditioned, or delayed. The Party commencing the litigation shall provide the other Party with copies of all pleadings and other documents filed with the court and shall consider reasonable input from the other Party during the course of the proceedings.</w:t>
      </w:r>
    </w:p>
    <w:p>
      <w:pPr>
        <w:spacing w:after="0" w:line="150" w:lineRule="exact"/>
        <w:rPr>
          <w:sz w:val="20"/>
          <w:szCs w:val="20"/>
          <w:color w:val="auto"/>
        </w:rPr>
      </w:pPr>
    </w:p>
    <w:p>
      <w:pPr>
        <w:jc w:val="both"/>
        <w:ind w:left="1060"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(f)Recovery</w:t>
      </w:r>
      <w:r>
        <w:rPr>
          <w:rFonts w:ascii="Times New Roman" w:cs="Times New Roman" w:eastAsia="Times New Roman" w:hAnsi="Times New Roman"/>
          <w:sz w:val="22"/>
          <w:szCs w:val="22"/>
          <w:color w:val="auto"/>
        </w:rPr>
        <w:t>. Except as otherwise agreed by the Parties in connection with a cost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any recovery realized as a result of such litigation described in this Section 13.4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treated as follows: (i) to the extent that any award or settlement (whether by judgment or otherwise) is paid to Jazz in respect of any of the Licensed Patents, such amounts shall be [**], and (ii) to the extent that any award or settlement (whether by judgment or otherwise) is paid to Werewolf in respect of any of the Licensed Patents (including Product Patents), such amounts shall be [**].</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13.5 Infringement Claims by Third Parties</w:t>
      </w:r>
      <w:r>
        <w:rPr>
          <w:rFonts w:ascii="Times New Roman" w:cs="Times New Roman" w:eastAsia="Times New Roman" w:hAnsi="Times New Roman"/>
          <w:sz w:val="22"/>
          <w:szCs w:val="22"/>
          <w:color w:val="auto"/>
        </w:rPr>
        <w:t>. If the Exploitation of a Licensed Product in the Territory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results in, or may result in, any claim, suit, or proceeding by a Third Party alleging patent infringement by Jazz (or its Affiliates or Sublicensees), Jazz shall have the first right, but not the obligation, to defend and control the defense of any such claim, suit, or proceeding at its own expense, using counsel of its own choice;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the provisions of Section 13.4 shall govern the right of Jazz to assert a counterclaim of infringement of any Licensed Patent. Jazz may deduct [**] percent ([**]%) of its total out-of-pocket costs incurred in connection with such action, including reasonable attorneys’ fees, damages and other liabilities that are part of any final judgment, and any amounts paid by Jazz in settlement of such action, from the royalties payable to Werewolf under Section 10.4, subject to Section 10.4(d)(iv).</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13.6</w:t>
      </w:r>
      <w:r>
        <w:rPr>
          <w:sz w:val="20"/>
          <w:szCs w:val="20"/>
          <w:color w:val="auto"/>
        </w:rPr>
        <w:tab/>
      </w:r>
      <w:r>
        <w:rPr>
          <w:rFonts w:ascii="Times New Roman" w:cs="Times New Roman" w:eastAsia="Times New Roman" w:hAnsi="Times New Roman"/>
          <w:sz w:val="21"/>
          <w:szCs w:val="21"/>
          <w:b w:val="1"/>
          <w:bCs w:val="1"/>
          <w:color w:val="auto"/>
        </w:rPr>
        <w:t>Invalidity or Unenforceability Defenses or Actions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1060" w:firstLine="1297"/>
        <w:spacing w:after="0" w:line="227" w:lineRule="auto"/>
        <w:tabs>
          <w:tab w:leader="none" w:pos="3242"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Each Party shall promptly notify the other Party in writing of any alleged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assertion of invalidity or unenforceability of any of the Licensed Patents by a Third Party, in each case in the Territory and of which such Party becomes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ind w:left="1060" w:firstLine="1297"/>
        <w:spacing w:after="0" w:line="212" w:lineRule="auto"/>
        <w:tabs>
          <w:tab w:leader="none" w:pos="3241"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Werewolf Patents</w:t>
      </w:r>
      <w:r>
        <w:rPr>
          <w:rFonts w:ascii="Times New Roman" w:cs="Times New Roman" w:eastAsia="Times New Roman" w:hAnsi="Times New Roman"/>
          <w:sz w:val="22"/>
          <w:szCs w:val="22"/>
          <w:color w:val="auto"/>
        </w:rPr>
        <w:t>. Werewolf shall have the first right, but not the obligation, to defend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control the defense of the validity and enforceability of the Licensed Patents that are not Product Patents. Werewolf shall consult with Jazz to determine a course of action with respect to any proceeding relating to the validity and enforceability of any such Licensed Patent and Werewolf shall consider in good faith any Jazz comments with respect thereto. If Werewolf elects not to defend or control the defense of any such Licensed Patent, or otherwise fails to initiate and maintain the defense of any such claim, suit, or proceeding, then Jazz may conduct and control the defense of any such claim, suit, or proceeding, at its own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Jazz shall obtain the written consent of Werewolf prior to settling or compromising such defense, such consent not to be unreasonably withheld, conditioned, or delayed.</w:t>
      </w:r>
    </w:p>
    <w:p>
      <w:pPr>
        <w:spacing w:after="0" w:line="149" w:lineRule="exact"/>
        <w:rPr>
          <w:sz w:val="20"/>
          <w:szCs w:val="20"/>
          <w:color w:val="auto"/>
        </w:rPr>
      </w:pPr>
    </w:p>
    <w:p>
      <w:pPr>
        <w:ind w:left="106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(c)Jazz Patents</w:t>
      </w:r>
      <w:r>
        <w:rPr>
          <w:rFonts w:ascii="Times New Roman" w:cs="Times New Roman" w:eastAsia="Times New Roman" w:hAnsi="Times New Roman"/>
          <w:sz w:val="22"/>
          <w:szCs w:val="22"/>
          <w:color w:val="auto"/>
        </w:rPr>
        <w:t>. Jazz shall have the sole right, but not the obligation, to defend and control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defense of the validity and enforceability of the Jazz Background Patents and Jazz Development Patents.</w:t>
      </w:r>
    </w:p>
    <w:p>
      <w:pPr>
        <w:spacing w:after="0" w:line="146" w:lineRule="exact"/>
        <w:rPr>
          <w:sz w:val="20"/>
          <w:szCs w:val="20"/>
          <w:color w:val="auto"/>
        </w:rPr>
      </w:pPr>
    </w:p>
    <w:p>
      <w:pPr>
        <w:ind w:left="3240" w:hanging="883"/>
        <w:spacing w:after="0"/>
        <w:tabs>
          <w:tab w:leader="none" w:pos="3240" w:val="left"/>
        </w:tabs>
        <w:numPr>
          <w:ilvl w:val="1"/>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 Patents.</w:t>
      </w:r>
    </w:p>
    <w:p>
      <w:pPr>
        <w:spacing w:after="0" w:line="183" w:lineRule="exact"/>
        <w:rPr>
          <w:rFonts w:ascii="Times New Roman" w:cs="Times New Roman" w:eastAsia="Times New Roman" w:hAnsi="Times New Roman"/>
          <w:sz w:val="22"/>
          <w:szCs w:val="22"/>
          <w:b w:val="1"/>
          <w:bCs w:val="1"/>
          <w:color w:val="auto"/>
        </w:rPr>
      </w:pPr>
    </w:p>
    <w:p>
      <w:pPr>
        <w:jc w:val="both"/>
        <w:ind w:firstLine="1952"/>
        <w:spacing w:after="0" w:line="222" w:lineRule="auto"/>
        <w:tabs>
          <w:tab w:leader="none" w:pos="258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Jazz shall have the first right, but not the obligation, to defend and control the defense of the validity and enforceability of the Product Patents. Jazz shall consult with Werewolf regarding its course of action with respect to any proceeding relating to the validity and enforceability of any such Product Patent and Jazz shall consider in good faith any Werewolf comments with respect thereto. Werewolf may participate in any such claim, suit, or proceeding in the Territory related to such Product Patents with counsel of its choice at its own expense; provided that Jazz shall retain control of the defense in such claim, suit, or proceeding. If Jazz elects not to defend or control the defense of any such Product Patents, or otherwise fails to initiate and maintain the defense of any such claim, suit, or proceeding, then Werewolf may conduct and control the defense of any such claim, suit, or proceeding, at its own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Werewolf shall obtain the written consent of Jazz prior to settling or compromising such defense, such consent not to be unreasonably withheld, conditioned, or delayed.</w:t>
      </w:r>
    </w:p>
    <w:p>
      <w:pPr>
        <w:spacing w:after="0" w:line="149" w:lineRule="exact"/>
        <w:rPr>
          <w:rFonts w:ascii="Times New Roman" w:cs="Times New Roman" w:eastAsia="Times New Roman" w:hAnsi="Times New Roman"/>
          <w:sz w:val="21"/>
          <w:szCs w:val="21"/>
          <w:b w:val="1"/>
          <w:bCs w:val="1"/>
          <w:color w:val="auto"/>
        </w:rPr>
      </w:pPr>
    </w:p>
    <w:p>
      <w:pPr>
        <w:jc w:val="both"/>
        <w:ind w:firstLine="1952"/>
        <w:spacing w:after="0" w:line="217" w:lineRule="auto"/>
        <w:tabs>
          <w:tab w:leader="none" w:pos="258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 Werewolf has assumed the defense of such Product Patent pursuant to Section 13.3(c)(i), Werewolf shall have the first right, but not the obligation, to defend and control the defense of the validity and enforceability of the relevant Product Patents. Jazz may participate in any such claim, suit, or proceeding in the Territory related to such Product Patents with counsel of its choice at its own expense; provided that Werewolf shall retain control of the defense in such claim, suit, or proceeding.</w:t>
      </w:r>
    </w:p>
    <w:p>
      <w:pPr>
        <w:spacing w:after="0" w:line="148" w:lineRule="exact"/>
        <w:rPr>
          <w:sz w:val="20"/>
          <w:szCs w:val="20"/>
          <w:color w:val="auto"/>
        </w:rPr>
      </w:pPr>
    </w:p>
    <w:p>
      <w:pPr>
        <w:jc w:val="both"/>
        <w:ind w:left="1060"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(e)Cooperation</w:t>
      </w:r>
      <w:r>
        <w:rPr>
          <w:rFonts w:ascii="Times New Roman" w:cs="Times New Roman" w:eastAsia="Times New Roman" w:hAnsi="Times New Roman"/>
          <w:sz w:val="22"/>
          <w:szCs w:val="22"/>
          <w:color w:val="auto"/>
        </w:rPr>
        <w:t>. Each Party shall assist and cooperate with the other Party as such other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request from time to time in connection with its activities set forth in this Section 13.6, including by being joined as a party plaintiff in such action or proceeding, providing access to relevant documents and other evidence, and making its employees available at reasonable business hours. Each Party shall consult with the other as to the strategy for the defense of the Licensed Patents (including the Product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13.7 UPC</w:t>
      </w:r>
      <w:r>
        <w:rPr>
          <w:rFonts w:ascii="Times New Roman" w:cs="Times New Roman" w:eastAsia="Times New Roman" w:hAnsi="Times New Roman"/>
          <w:sz w:val="22"/>
          <w:szCs w:val="22"/>
          <w:color w:val="auto"/>
        </w:rPr>
        <w:t>. Jazz will have the right to determine whether to opt in or opt out (and to opt in again) of the Unified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Court system with respect of the Product Patents and, if requested by Jazz, Werewolf will promptly do all things reasonably necessary and execute all documents required to give effect to such decision(s),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Jazz will reimburse Werewolf its reasonable out-of-pocket expenses incurred in performing such acts.</w:t>
      </w:r>
    </w:p>
    <w:p>
      <w:pPr>
        <w:spacing w:after="0" w:line="148"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14.1. Confidentiality</w:t>
      </w:r>
      <w:r>
        <w:rPr>
          <w:rFonts w:ascii="Times New Roman" w:cs="Times New Roman" w:eastAsia="Times New Roman" w:hAnsi="Times New Roman"/>
          <w:sz w:val="22"/>
          <w:szCs w:val="22"/>
          <w:color w:val="auto"/>
        </w:rPr>
        <w:t>. All Confidential Information provided by one Party (or its Representatives or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to the other Party (or its Representatives or Affiliates) (collectively, the “</w:t>
      </w:r>
      <w:r>
        <w:rPr>
          <w:rFonts w:ascii="Times New Roman" w:cs="Times New Roman" w:eastAsia="Times New Roman" w:hAnsi="Times New Roman"/>
          <w:sz w:val="22"/>
          <w:szCs w:val="22"/>
          <w:b w:val="1"/>
          <w:bCs w:val="1"/>
          <w:color w:val="auto"/>
        </w:rPr>
        <w:t>Receiving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be subject to and treated in accordance with the terms of this Section 14.1.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information disclosed or made available to the Receiving Party by or on behalf of the Disclosing Party in connection with this Agreement including the negotiation thereof, and (b) all memoranda, notes, analyses, compilations, studies, and other materials prepared by or for the Receiving Party to the extent containing or reflecting the information in the preceding clause (a) or (b), provided that: (i) all Development Records, Information and reports provided by Werewolf pursuant to Article 6 and all Jazz Development Know-How shall be deemed to be Confidential Information of Jazz, and Jazz shall be deemed to be the Disclosing Party and Werewolf the Receiving Party with respect thereto; (ii) the terms of this Agreement and the Licensed Know-How are the Confidential Information of both Parties.</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14.2. Exceptions</w:t>
      </w:r>
      <w:r>
        <w:rPr>
          <w:rFonts w:ascii="Times New Roman" w:cs="Times New Roman" w:eastAsia="Times New Roman" w:hAnsi="Times New Roman"/>
          <w:sz w:val="22"/>
          <w:szCs w:val="22"/>
          <w:color w:val="auto"/>
        </w:rPr>
        <w:t>. Notwithstanding the foregoing, the confidentiality obligations of Section 14.1 above shall not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portion of Disclosing Party’s Confidential Information that, in each case as demonstrated by competent written documentation:</w:t>
      </w:r>
    </w:p>
    <w:p>
      <w:pPr>
        <w:spacing w:after="0" w:line="150" w:lineRule="exact"/>
        <w:rPr>
          <w:sz w:val="20"/>
          <w:szCs w:val="20"/>
          <w:color w:val="auto"/>
        </w:rPr>
      </w:pPr>
    </w:p>
    <w:p>
      <w:pPr>
        <w:jc w:val="both"/>
        <w:ind w:firstLine="1304"/>
        <w:spacing w:after="0" w:line="225" w:lineRule="auto"/>
        <w:tabs>
          <w:tab w:leader="none" w:pos="193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 (but excluding information described in Section 14.1(i) in the case of Werewolf as the Receiving Party);</w:t>
      </w:r>
    </w:p>
    <w:p>
      <w:pPr>
        <w:spacing w:after="0" w:line="152" w:lineRule="exact"/>
        <w:rPr>
          <w:rFonts w:ascii="Times New Roman" w:cs="Times New Roman" w:eastAsia="Times New Roman" w:hAnsi="Times New Roman"/>
          <w:sz w:val="22"/>
          <w:szCs w:val="22"/>
          <w:b w:val="1"/>
          <w:bCs w:val="1"/>
          <w:color w:val="auto"/>
        </w:rPr>
      </w:pPr>
    </w:p>
    <w:p>
      <w:pPr>
        <w:ind w:right="20" w:firstLine="1304"/>
        <w:spacing w:after="0" w:line="255" w:lineRule="auto"/>
        <w:tabs>
          <w:tab w:leader="none" w:pos="1938" w:val="left"/>
        </w:tabs>
        <w:numPr>
          <w:ilvl w:val="0"/>
          <w:numId w:val="1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was generally available to the public or otherwise part of the public domain at the time of its disclosure to the Receiving Party unless such Confidential Information is so available due to the unauthorized actions of the Receiving Party;</w:t>
      </w:r>
    </w:p>
    <w:p>
      <w:pPr>
        <w:spacing w:after="0" w:line="134" w:lineRule="exact"/>
        <w:rPr>
          <w:rFonts w:ascii="Times New Roman" w:cs="Times New Roman" w:eastAsia="Times New Roman" w:hAnsi="Times New Roman"/>
          <w:sz w:val="21"/>
          <w:szCs w:val="21"/>
          <w:b w:val="1"/>
          <w:bCs w:val="1"/>
          <w:color w:val="auto"/>
        </w:rPr>
      </w:pPr>
    </w:p>
    <w:p>
      <w:pPr>
        <w:ind w:firstLine="1304"/>
        <w:spacing w:after="0" w:line="236" w:lineRule="auto"/>
        <w:tabs>
          <w:tab w:leader="none" w:pos="1941"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became generally available to the public or otherwise part of the public domain after its disclosure to the Receiving Party other than through any act or omission of the Receiving Party in breach of this Agreement;</w:t>
      </w:r>
    </w:p>
    <w:p>
      <w:pPr>
        <w:spacing w:after="0" w:line="150"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38"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subsequently disclosed to the Receiving Party on a non-confidential basis by a Third Party without obligations of confidentiality with respect thereto; or</w:t>
      </w:r>
    </w:p>
    <w:p>
      <w:pPr>
        <w:spacing w:after="0" w:line="150"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subsequently independently discovered or developed by the Receiving Party without the aid, application, or use of Confidential Information of Disclosing Party.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14.3. Permitted Uses</w:t>
      </w:r>
      <w:r>
        <w:rPr>
          <w:rFonts w:ascii="Times New Roman" w:cs="Times New Roman" w:eastAsia="Times New Roman" w:hAnsi="Times New Roman"/>
          <w:sz w:val="21"/>
          <w:szCs w:val="21"/>
          <w:color w:val="auto"/>
        </w:rPr>
        <w:t>. Commencing on the Effective Date and continuing until [**] after the expiration or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 Agreement, (i) Receiving Party may disclose, or permit the disclosure of, any of Disclosing Party’s Confidential Information to its Affiliates and their Representatives, provided that such Affiliates and Representatives do not disclose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otherwise expressly permitted under this Agreement, or make any unauthorized use of, the Disclosing Party’s Confidential Information; (ii) Receiving Party shall treat, and shall cause its Affiliates and the Representatives of Receiving Party or any of its Affiliates to treat, Disclosing Party’s Confidential Information as confidential, using the same degree of care as Receiving Party normally employs to safeguard its own confidential information from unauthorized use or disclosure, but in no event less than a reasonable degree of care. The Receiving Party shall promptly notify the Disclosing Party upon discovery of any unauthorized use or unauthorized disclosure of the Disclosing Party’s Confidential Information.</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14.4. Authorized Disclosure. </w:t>
      </w:r>
      <w:r>
        <w:rPr>
          <w:rFonts w:ascii="Times New Roman" w:cs="Times New Roman" w:eastAsia="Times New Roman" w:hAnsi="Times New Roman"/>
          <w:sz w:val="22"/>
          <w:szCs w:val="22"/>
          <w:color w:val="auto"/>
        </w:rPr>
        <w:t>Notwithstanding the provisions of Section 14.1, the Receiving Party may disclose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Disclosing Party as expressly permitted by this Agreement, or if and to the extent such disclosure is reasonably necessary in the following instances:</w:t>
      </w:r>
    </w:p>
    <w:p>
      <w:pPr>
        <w:spacing w:after="0" w:line="150" w:lineRule="exact"/>
        <w:rPr>
          <w:sz w:val="20"/>
          <w:szCs w:val="20"/>
          <w:color w:val="auto"/>
        </w:rPr>
      </w:pPr>
    </w:p>
    <w:p>
      <w:pPr>
        <w:ind w:left="1940" w:hanging="636"/>
        <w:spacing w:after="0"/>
        <w:tabs>
          <w:tab w:leader="none" w:pos="1940" w:val="left"/>
        </w:tabs>
        <w:numPr>
          <w:ilvl w:val="1"/>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case of either Party as the Receiving Party:</w:t>
      </w:r>
    </w:p>
    <w:p>
      <w:pPr>
        <w:spacing w:after="0" w:line="179"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2"/>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enforcing such Party’s rights or performing its obligations under this Agreement;</w:t>
      </w:r>
    </w:p>
    <w:p>
      <w:pPr>
        <w:spacing w:after="0" w:line="166"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prosecuting or defending litigation and/or filing for, prosecuting or enforcing Patents as permitted</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this Agreement;</w:t>
      </w:r>
    </w:p>
    <w:p>
      <w:pPr>
        <w:spacing w:after="0" w:line="155" w:lineRule="exact"/>
        <w:rPr>
          <w:rFonts w:ascii="Times New Roman" w:cs="Times New Roman" w:eastAsia="Times New Roman" w:hAnsi="Times New Roman"/>
          <w:sz w:val="22"/>
          <w:szCs w:val="22"/>
          <w:b w:val="1"/>
          <w:bCs w:val="1"/>
          <w:color w:val="auto"/>
        </w:rPr>
      </w:pPr>
    </w:p>
    <w:p>
      <w:pPr>
        <w:jc w:val="both"/>
        <w:ind w:firstLine="1952"/>
        <w:spacing w:after="0" w:line="219" w:lineRule="auto"/>
        <w:tabs>
          <w:tab w:leader="none" w:pos="2592" w:val="left"/>
        </w:tabs>
        <w:numPr>
          <w:ilvl w:val="2"/>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complying with (A) court orders or applicable laws (other than securities laws) or (B) applicable securities laws, or rules of any recognized stock exchange on which the Receiving Party’s securities are traded (specifically including the recommendations and requests from the U.S. Securities and Exchange Commission); provided in the event the Receiving Party is required to make a disclosure of the Disclosing Party’s Confidential Information pursuant to this subparagraph 14.4(a)(iii), it will, except where impracticable, (i) give reasonable advance notice to the Disclosing Party of such disclosure,</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18" w:lineRule="auto"/>
        <w:tabs>
          <w:tab w:leader="none" w:pos="3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efforts to secure confidential treatment of such information at least as diligent as the Receiving Party would use to protect its own confidential information, and (iii) in the case of disclosures under (A) above, cooperate with any efforts by the Disclosing Party, at the Disclosing Party’s request and expense, to prevent or limit disclosure of such Confidential Information;</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2"/>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Third Parties in connection with due diligence or similar investigations, and disclosure to potential Third Party investors in confidential financing documents, provided, in each case, that any such Third Party agrees to be bound by obligations of confidentiality and non-use similar to those contained in this Agreement; or</w:t>
      </w:r>
    </w:p>
    <w:p>
      <w:pPr>
        <w:spacing w:after="0" w:line="13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a Tax authority in connection with the Tax affairs or a reporting obligation of the</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Disclosing Party.</w:t>
      </w:r>
    </w:p>
    <w:p>
      <w:pPr>
        <w:spacing w:after="0" w:line="155"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case of Jazz as the Receiving Party:</w:t>
      </w:r>
    </w:p>
    <w:p>
      <w:pPr>
        <w:spacing w:after="0" w:line="179"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0" w:val="left"/>
        </w:tabs>
        <w:numPr>
          <w:ilvl w:val="2"/>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regulatory filings (including for any IND or Drug Approval Application) or otherwise in seeking, obtaining and maintaining Regulatory Approvals (including complying with the requirements of Regulatory Authorities with respect to filing for, obtaining and maintaining such Regulatory Approvals);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8" w:lineRule="exact"/>
        <w:rPr>
          <w:sz w:val="20"/>
          <w:szCs w:val="20"/>
          <w:color w:val="auto"/>
        </w:rPr>
      </w:pPr>
    </w:p>
    <w:p>
      <w:pPr>
        <w:jc w:val="both"/>
        <w:ind w:firstLine="1952"/>
        <w:spacing w:after="0" w:line="220" w:lineRule="auto"/>
        <w:tabs>
          <w:tab w:leader="none" w:pos="2586"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actual or potential Sublicensees, subcontractors, investors, acquirors, or other Third Parties in connection with the exercise of its rights under this Agreement or related activities, or an actual or potential investment, acquisition, license or collaboration, provided, that Jazz uses efforts to secure confidential treatment of such information at least as diligent as the it would use to protect its own confidential information of a similar nature.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14.5 Prior Confidentiality Agreement</w:t>
      </w:r>
      <w:r>
        <w:rPr>
          <w:rFonts w:ascii="Times New Roman" w:cs="Times New Roman" w:eastAsia="Times New Roman" w:hAnsi="Times New Roman"/>
          <w:sz w:val="22"/>
          <w:szCs w:val="22"/>
          <w:color w:val="auto"/>
        </w:rPr>
        <w:t>. This Agreement supersedes the Confidentiality Agreement regarding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of this Agreement. All information exchanged between the Parties under the Confidentiality Agreement shall be deemed to have been disclosed under this Agreement on a going-forward basis and shall be subject to the terms of Section 14.1 as of the Effective Date. For the avoidance of doubt, the restrictions set forth in Section 3 of Amendment No. 3 shall no longer apply after the Effective Date. However, [**].</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14.6 Use of Name</w:t>
      </w:r>
      <w:r>
        <w:rPr>
          <w:rFonts w:ascii="Times New Roman" w:cs="Times New Roman" w:eastAsia="Times New Roman" w:hAnsi="Times New Roman"/>
          <w:sz w:val="22"/>
          <w:szCs w:val="22"/>
          <w:color w:val="auto"/>
        </w:rPr>
        <w:t>. Except as expressly provided in this Agreement, neither Party shall use the name, logo,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of the other Party or any of its Affiliates (or any abbreviation or adaptation thereof) in any publication, press release, marketing and promotional material, or other form of publicity without the prior written approval of such other Party in each instance, which approval shall not be unreasonably withheld, conditioned, or delayed. The restrictions imposed by this Section 14.6 shall not prohibit either Party from making any disclosure identifying the other Party that, in the opinion of the disclosing Party’s counsel, is required by Applicable Law; provided, that such Party shall submit the proposed disclosure identifying the other Party in writing to such other Party as far in advance as reasonably practicable so as to provide a reasonable opportunity to comment on such disclosure.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1"/>
          <w:szCs w:val="21"/>
          <w:b w:val="1"/>
          <w:bCs w:val="1"/>
          <w:color w:val="auto"/>
        </w:rPr>
        <w:t>Confidential Disclosure of Terms.</w:t>
      </w:r>
    </w:p>
    <w:p>
      <w:pPr>
        <w:spacing w:after="0" w:line="183" w:lineRule="exact"/>
        <w:rPr>
          <w:sz w:val="20"/>
          <w:szCs w:val="20"/>
          <w:color w:val="auto"/>
        </w:rPr>
      </w:pPr>
    </w:p>
    <w:p>
      <w:pPr>
        <w:jc w:val="both"/>
        <w:ind w:firstLine="1304"/>
        <w:spacing w:after="0" w:line="227" w:lineRule="auto"/>
        <w:tabs>
          <w:tab w:leader="none" w:pos="1939"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Party agrees not to disclose to any Third Party the existence and/or terms of this Agreement without the prior written consent of the other Party hereto, except as permitted under Section 14.2, 14.3 or 14.4 above or Section 14.7(b) below, and notwithstanding the foregoing, each Party may disclose the existence and/or terms of this Agreement to its advisors (including financial advisors, attorneys and accountants), potential and existing investors, collaboration partners or acquirers, and others on a reasonable need to know basis, in each case under circumstances that reasonably protect the confidentiality thereof.</w:t>
      </w:r>
    </w:p>
    <w:p>
      <w:pPr>
        <w:spacing w:after="0" w:line="153" w:lineRule="exact"/>
        <w:rPr>
          <w:rFonts w:ascii="Times New Roman" w:cs="Times New Roman" w:eastAsia="Times New Roman" w:hAnsi="Times New Roman"/>
          <w:sz w:val="21"/>
          <w:szCs w:val="21"/>
          <w:b w:val="1"/>
          <w:bCs w:val="1"/>
          <w:color w:val="auto"/>
        </w:rPr>
      </w:pPr>
    </w:p>
    <w:p>
      <w:pPr>
        <w:jc w:val="both"/>
        <w:ind w:firstLine="1304"/>
        <w:spacing w:after="0" w:line="211" w:lineRule="auto"/>
        <w:tabs>
          <w:tab w:leader="none" w:pos="193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acknowledge that either or both Parties may be obligated to file under Applicable Law promulgated by Governmental Bodies or applicable securities exchanges a copy of this Agreement with the U.S. Securities and Exchange Commission or other Governmental Bodies. In the event that a Party determines based on advice of outside counsel that such a filing is required, such Party shall request confidential treatment of all Confidential Information herein, including the sensitive commercial, financial, and technical terms hereof, to the extent such confidential treatment may be reasonably available to such Party. In the event of any such filing, the filing Party shall provide the other Party with a copy of this Agreement marked to show provisions for which such filing Party intends to seek confidential treatment within a reasonable amount of time prior to filing and shall use good faith efforts to incorporate the other Party’s reasonable comments thereon to the extent consistent with Applicable Law promulgated by Governmental Bodies or applicable securities exchanges. Each Party shall be responsible for its own legal and other external costs in connection with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14.8</w:t>
      </w:r>
      <w:r>
        <w:rPr>
          <w:sz w:val="20"/>
          <w:szCs w:val="20"/>
          <w:color w:val="auto"/>
        </w:rPr>
        <w:tab/>
      </w:r>
      <w:r>
        <w:rPr>
          <w:rFonts w:ascii="Times New Roman" w:cs="Times New Roman" w:eastAsia="Times New Roman" w:hAnsi="Times New Roman"/>
          <w:sz w:val="21"/>
          <w:szCs w:val="21"/>
          <w:b w:val="1"/>
          <w:bCs w:val="1"/>
          <w:color w:val="auto"/>
        </w:rPr>
        <w:t>Public Announcements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6" w:lineRule="auto"/>
        <w:tabs>
          <w:tab w:leader="none" w:pos="1939"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Parties have mutually approved a press release attached hereto as </w:t>
      </w:r>
      <w:r>
        <w:rPr>
          <w:rFonts w:ascii="Times New Roman" w:cs="Times New Roman" w:eastAsia="Times New Roman" w:hAnsi="Times New Roman"/>
          <w:sz w:val="22"/>
          <w:szCs w:val="22"/>
          <w:b w:val="1"/>
          <w:bCs w:val="1"/>
          <w:color w:val="auto"/>
        </w:rPr>
        <w:t>Schedule 14.8</w:t>
      </w:r>
      <w:r>
        <w:rPr>
          <w:rFonts w:ascii="Times New Roman" w:cs="Times New Roman" w:eastAsia="Times New Roman" w:hAnsi="Times New Roman"/>
          <w:sz w:val="22"/>
          <w:szCs w:val="22"/>
          <w:color w:val="auto"/>
        </w:rPr>
        <w:t xml:space="preserve"> with respect to this Agreement. Werewolf agrees not to issue any other press release or other public statement, whether oral or written, disclosing the terms hereof or any of the activities conducted hereunder without the prior written consent of Jazz (such consent not to be unreasonably withheld, conditioned or delayed), except as permitted under Section 14.4(a) above. Notwithstanding the foregoing, after release of a press release in accordance with this Section 14.8(a), Werewolf may disclose to Third Parties the information contained in such press release without further consent.</w:t>
      </w:r>
    </w:p>
    <w:p>
      <w:pPr>
        <w:spacing w:after="0" w:line="149"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Jazz shall have the right to issue subsequent press releases or other public statements pertaining to the activities conducted hereunder. For avoidance of doubt, Jazz shall have the right to publicly disclose without Werewolf’s prior written consent: (A) the achievement of any milestone under this Agreement; (B) the commencement, completion, material data and key results of any Clinical Trial conducted under this Agreement; and (C) any information relating to the Development or Commercialization of Licensed Compounds and Licensed Products in the Territory.</w:t>
      </w:r>
    </w:p>
    <w:p>
      <w:pPr>
        <w:spacing w:after="0" w:line="14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14.9 Publications</w:t>
      </w:r>
      <w:r>
        <w:rPr>
          <w:rFonts w:ascii="Times New Roman" w:cs="Times New Roman" w:eastAsia="Times New Roman" w:hAnsi="Times New Roman"/>
          <w:sz w:val="22"/>
          <w:szCs w:val="22"/>
          <w:color w:val="auto"/>
        </w:rPr>
        <w:t>. The Parties acknowledge that scientific publications must be strictly monitored to prevent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 effect from premature publication of results of the Development activities hereunder.</w:t>
      </w:r>
    </w:p>
    <w:p>
      <w:pPr>
        <w:spacing w:after="0" w:line="146" w:lineRule="exact"/>
        <w:rPr>
          <w:sz w:val="20"/>
          <w:szCs w:val="20"/>
          <w:color w:val="auto"/>
        </w:rPr>
      </w:pPr>
    </w:p>
    <w:p>
      <w:pPr>
        <w:jc w:val="both"/>
        <w:ind w:left="1060" w:firstLine="1297"/>
        <w:spacing w:after="0" w:line="227" w:lineRule="auto"/>
        <w:tabs>
          <w:tab w:leader="none" w:pos="3242"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By Werewolf</w:t>
      </w:r>
      <w:r>
        <w:rPr>
          <w:rFonts w:ascii="Times New Roman" w:cs="Times New Roman" w:eastAsia="Times New Roman" w:hAnsi="Times New Roman"/>
          <w:sz w:val="22"/>
          <w:szCs w:val="22"/>
          <w:color w:val="auto"/>
        </w:rPr>
        <w:t>. Subject to Section 14.4(a) and 14.6, Werewolf shall not have the right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make any publications, oral presentations, articles, posters, abstracts or other public disclosures related to a Licensed Compound and/or Licensed Product without Jazz’s prior written consent.</w:t>
      </w:r>
    </w:p>
    <w:p>
      <w:pPr>
        <w:spacing w:after="0" w:line="146" w:lineRule="exact"/>
        <w:rPr>
          <w:rFonts w:ascii="Times New Roman" w:cs="Times New Roman" w:eastAsia="Times New Roman" w:hAnsi="Times New Roman"/>
          <w:sz w:val="22"/>
          <w:szCs w:val="22"/>
          <w:b w:val="1"/>
          <w:bCs w:val="1"/>
          <w:color w:val="auto"/>
        </w:rPr>
      </w:pPr>
    </w:p>
    <w:p>
      <w:pPr>
        <w:jc w:val="both"/>
        <w:ind w:left="1060" w:firstLine="1297"/>
        <w:spacing w:after="0" w:line="227" w:lineRule="auto"/>
        <w:tabs>
          <w:tab w:leader="none" w:pos="3241"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By Jazz</w:t>
      </w:r>
      <w:r>
        <w:rPr>
          <w:rFonts w:ascii="Times New Roman" w:cs="Times New Roman" w:eastAsia="Times New Roman" w:hAnsi="Times New Roman"/>
          <w:sz w:val="22"/>
          <w:szCs w:val="22"/>
          <w:color w:val="auto"/>
        </w:rPr>
        <w:t>. Subject to Section 14.1, Jazz shall have the right to make any publications, oral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presentations, articles, posters, abstracts or other public disclosures related to the Licensed Compound and/or Licensed Product without reference to Werewolf.</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14.10 Return of Confidential Information</w:t>
      </w:r>
      <w:r>
        <w:rPr>
          <w:rFonts w:ascii="Times New Roman" w:cs="Times New Roman" w:eastAsia="Times New Roman" w:hAnsi="Times New Roman"/>
          <w:sz w:val="22"/>
          <w:szCs w:val="22"/>
          <w:color w:val="auto"/>
        </w:rPr>
        <w:t>. Upon termination of this Agreement in its entirety, each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return to the other Party, or delete or destroy, all records and materials in such Party’s possession or control containing Confidential Information of the other Party; provided that the other Party shall be permitted to retain one (1) copy of such Confidential Information for the sole purpose of performing any continuing obligations under this Agreement, as required by Applicable Law, or for legal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15.1   Due Organization</w:t>
      </w:r>
      <w:r>
        <w:rPr>
          <w:rFonts w:ascii="Times New Roman" w:cs="Times New Roman" w:eastAsia="Times New Roman" w:hAnsi="Times New Roman"/>
          <w:sz w:val="22"/>
          <w:szCs w:val="22"/>
          <w:color w:val="auto"/>
        </w:rPr>
        <w:t>. Each Party represents and warrants as of the Effective Date that:</w:t>
      </w:r>
    </w:p>
    <w:p>
      <w:pPr>
        <w:spacing w:after="0" w:line="183" w:lineRule="exact"/>
        <w:rPr>
          <w:rFonts w:ascii="Times New Roman" w:cs="Times New Roman" w:eastAsia="Times New Roman" w:hAnsi="Times New Roman"/>
          <w:sz w:val="22"/>
          <w:szCs w:val="22"/>
          <w:b w:val="1"/>
          <w:bCs w:val="1"/>
          <w:color w:val="auto"/>
        </w:rPr>
      </w:pPr>
    </w:p>
    <w:p>
      <w:pPr>
        <w:jc w:val="both"/>
        <w:ind w:left="1060" w:firstLine="1297"/>
        <w:spacing w:after="0" w:line="225" w:lineRule="auto"/>
        <w:tabs>
          <w:tab w:leader="none" w:pos="3242"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a company duly organized, validly existing, and in good standing under the laws of the jurisdiction of its organization, and has all requisite power and authority, corporate or otherwise, to execute, deliver, and perform this Agreement;</w:t>
      </w:r>
    </w:p>
    <w:p>
      <w:pPr>
        <w:spacing w:after="0" w:line="152" w:lineRule="exact"/>
        <w:rPr>
          <w:rFonts w:ascii="Times New Roman" w:cs="Times New Roman" w:eastAsia="Times New Roman" w:hAnsi="Times New Roman"/>
          <w:sz w:val="22"/>
          <w:szCs w:val="22"/>
          <w:b w:val="1"/>
          <w:bCs w:val="1"/>
          <w:color w:val="auto"/>
        </w:rPr>
      </w:pPr>
    </w:p>
    <w:p>
      <w:pPr>
        <w:jc w:val="both"/>
        <w:ind w:left="1060" w:firstLine="1297"/>
        <w:spacing w:after="0" w:line="217" w:lineRule="auto"/>
        <w:tabs>
          <w:tab w:leader="none" w:pos="3241"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has been duly authorized by all necessary corporate action, and do not violate (i) such Party’s charter documents, bylaws, or other organizational documents, (ii) any agreement, instrument, or contractual obligation to which such Party is bound, (iii) any requirement of any Applicable Law, or (iv) any order, writ, judgment, injunction, decree, determination, or award of any court or governmental agency presently in effect applicable to such Party;</w:t>
      </w:r>
    </w:p>
    <w:p>
      <w:pPr>
        <w:spacing w:after="0" w:line="148" w:lineRule="exact"/>
        <w:rPr>
          <w:sz w:val="20"/>
          <w:szCs w:val="20"/>
          <w:color w:val="auto"/>
        </w:rPr>
      </w:pPr>
    </w:p>
    <w:p>
      <w:pPr>
        <w:jc w:val="both"/>
        <w:ind w:left="1060"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it is not under any obligation, contractual or otherwise, to any Person that conflicts with or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inconsistent with the terms of this Agreement, or that would impede the diligent and complete fulfilment of its obligations hereunder; and</w:t>
      </w:r>
    </w:p>
    <w:p>
      <w:pPr>
        <w:spacing w:after="0" w:line="150" w:lineRule="exact"/>
        <w:rPr>
          <w:sz w:val="20"/>
          <w:szCs w:val="20"/>
          <w:color w:val="auto"/>
        </w:rPr>
      </w:pPr>
    </w:p>
    <w:p>
      <w:pPr>
        <w:jc w:val="both"/>
        <w:ind w:left="1060" w:firstLine="1297"/>
        <w:spacing w:after="0" w:line="220" w:lineRule="auto"/>
        <w:tabs>
          <w:tab w:leader="none" w:pos="3241"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(assuming due authorization, execution and delivery by the other Party) is binding upon it, enforceable against it in accordance with its terms, subject to any applicable bankruptcy, insolvency, reorganization, moratorium, or similar laws now or hereinafter in effect relating to creditors’ rights generally or to general principles of equity.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Werewolf represents and warrants to Jazz as follows:</w:t>
      </w:r>
    </w:p>
    <w:p>
      <w:pPr>
        <w:spacing w:after="0" w:line="179" w:lineRule="exact"/>
        <w:rPr>
          <w:sz w:val="20"/>
          <w:szCs w:val="20"/>
          <w:color w:val="auto"/>
        </w:rPr>
      </w:pPr>
    </w:p>
    <w:p>
      <w:pPr>
        <w:jc w:val="both"/>
        <w:ind w:firstLine="1304"/>
        <w:spacing w:after="0" w:line="218" w:lineRule="auto"/>
        <w:tabs>
          <w:tab w:leader="none" w:pos="1939"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Schedule 1.126 </w:t>
      </w:r>
      <w:r>
        <w:rPr>
          <w:rFonts w:ascii="Times New Roman" w:cs="Times New Roman" w:eastAsia="Times New Roman" w:hAnsi="Times New Roman"/>
          <w:sz w:val="22"/>
          <w:szCs w:val="22"/>
          <w:color w:val="auto"/>
        </w:rPr>
        <w:t>lists (i) each Licensed Patent existing as of the Effective Date, (ii) the jurisdiction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Patents has been registered or filed and the applicable registration or serial number, and (iii) any other Person that has or purports to have an ownership interest in such Patents and the nature of such ownership interest. Werewolf has made available to Jazz copies of all such Licensed Patents and all other material correspondence with any patent office related to each such Licensed Patent.</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than as disclosed on Schedule 15.2(b), Werewolf is not bound by, and the Licensed Technology (and any part thereof) is not subject to, any agreement containing, any covenant or other provision that in any way limits or restricts the ability of Werewolf or Jazz to Exploit or enforce any Licensed Technology anywhere in the world.</w:t>
      </w:r>
    </w:p>
    <w:p>
      <w:pPr>
        <w:spacing w:after="0" w:line="152"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than as disclosed on Schedule 15.2(c), Werewolf solely and exclusively owns all right, title, and interest to and in the Licensed Technology free and clear of any encumbrances.</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Werewolf (i) does not own or control any Regulatory Approval, and has not submitted to any Regulatory Authority any application for Regulatory Approval, or other regulatory documentation or regulatory filing, in each case for any Licensed Compound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Licensed Product, and (ii) has not requested or participated in any meeting with any Regulatory Authority or received any correspondence from any Regulatory Authority relating to any such Licensed Compound or Licensed Product.</w:t>
      </w:r>
    </w:p>
    <w:p>
      <w:pPr>
        <w:spacing w:after="0" w:line="150" w:lineRule="exact"/>
        <w:rPr>
          <w:sz w:val="20"/>
          <w:szCs w:val="20"/>
          <w:color w:val="auto"/>
        </w:rPr>
      </w:pPr>
    </w:p>
    <w:p>
      <w:pPr>
        <w:ind w:firstLine="1304"/>
        <w:spacing w:after="0" w:line="236" w:lineRule="auto"/>
        <w:tabs>
          <w:tab w:leader="none" w:pos="1941"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of the Effective Date, to Werewolf knowledge, no Person has infringed, misappropriated, or otherwise violated, and no Person is currently infringing, misappropriating, or otherwise violating, any Licensed Technology.</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4"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Werewolf has not infringed, misappropriated, or otherwise violated or made unlawful use of the Intellectual Property Rights of any Third Party in the performance of activities related to the Licensed Technology. [**], Werewolf has never received any written notice or other written communication relating to any actual, alleged, or suspected infringement, misappropriation, or violation by Werewolf or any of its Representatives of any Intellectual Property Right of another Person in connection with performance of Development, manufacture or Commercialization of any Licensed Compound or Licensed Product.</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9"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the existing Licensed Patents, and with the exception of proceedings in the relevant patent office in the ordinary course of patent prosecution, no proceeding is pending or is threatened that challenges the validity, enforceability, inventorship, patentability, claim construction, use or ownership of or Werewolf’s right to grant a license or other right to the item and, to the knowledge of Werewolf, no valid basis exists for such a challenge.</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funding, facilities, or personnel of any Governmental Body or any university, college, research institute, or other educational institution has been or is being used, directly or indirectly, to create, in whole or in part, Intellectual Property Rights related to the Licensed Technology, except for any such funding or use of facilities or personnel that does not result in such Governmental Body or institution obtaining ownership rights or any other similar right, title or interest (including any “march in” rights) in or to such Intellectual Property Rights (including any claim or option to any of the foregoing).</w:t>
      </w:r>
    </w:p>
    <w:p>
      <w:pPr>
        <w:spacing w:after="0" w:line="153" w:lineRule="exact"/>
        <w:rPr>
          <w:rFonts w:ascii="Times New Roman" w:cs="Times New Roman" w:eastAsia="Times New Roman" w:hAnsi="Times New Roman"/>
          <w:sz w:val="21"/>
          <w:szCs w:val="21"/>
          <w:b w:val="1"/>
          <w:bCs w:val="1"/>
          <w:color w:val="auto"/>
        </w:rPr>
      </w:pPr>
    </w:p>
    <w:p>
      <w:pPr>
        <w:jc w:val="both"/>
        <w:ind w:firstLine="1304"/>
        <w:spacing w:after="0" w:line="217" w:lineRule="auto"/>
        <w:tabs>
          <w:tab w:leader="none" w:pos="1932"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Werewolf and its Affiliates are, at the Effective Date, in compliance in all respects with the terms of each Werewolf In-License and have performed all obligations required to be performed by Werewolf or its Affiliates pursuant to such agreement in a timely manner. To Werewolf’s knowledge, no counterparty to a Werewolf In-License is in breach or default in any respect of a Werewolf In-License and there are no material impediments that would prevent Werewolf or its Affiliates from fulfilling their obligations under each Werewolf In-License.</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44"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true, accurate and complete copy of each Werewolf In-License existing at the Effective Date has been made available to Jazz prior to the Effective Date. Each Werewolf In-License existing at the Effective Date is in force and enforceable according to its terms. Werewolf has not received notice of termination in respect of any Werewolf In-License existing at the Effective Date and is not in discussions or negotiations with respect to any amendment, supplement or other modification (including termination) with respect to any Werewolf In-License.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b w:val="1"/>
          <w:bCs w:val="1"/>
          <w:color w:val="auto"/>
        </w:rPr>
        <w:t>Additional Covenants</w:t>
      </w:r>
      <w:r>
        <w:rPr>
          <w:rFonts w:ascii="Times New Roman" w:cs="Times New Roman" w:eastAsia="Times New Roman" w:hAnsi="Times New Roman"/>
          <w:sz w:val="21"/>
          <w:szCs w:val="21"/>
          <w:color w:val="auto"/>
        </w:rPr>
        <w:t>. Werewolf hereby covenants and agrees that:</w:t>
      </w:r>
    </w:p>
    <w:p>
      <w:pPr>
        <w:spacing w:after="0" w:line="200" w:lineRule="exact"/>
        <w:rPr>
          <w:sz w:val="20"/>
          <w:szCs w:val="20"/>
          <w:color w:val="auto"/>
        </w:rPr>
      </w:pPr>
    </w:p>
    <w:p>
      <w:pPr>
        <w:spacing w:after="0" w:line="226" w:lineRule="exact"/>
        <w:rPr>
          <w:sz w:val="20"/>
          <w:szCs w:val="20"/>
          <w:color w:val="auto"/>
        </w:rPr>
      </w:pPr>
    </w:p>
    <w:p>
      <w:pPr>
        <w:jc w:val="both"/>
        <w:ind w:firstLine="1304"/>
        <w:spacing w:after="0" w:line="225" w:lineRule="auto"/>
        <w:tabs>
          <w:tab w:leader="none" w:pos="1939"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shall perform the Werewolf Development Activities in accordance with all Applicable Laws and the generally accepted industry standards of care and diligence practiced by a biopharmaceutical research organization in performing research and development of a similar nature.</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38"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it will not employ, contract with, or retain any Person directly or indirectly to perform the Werewolf Development Activities under this Agreement if such Person is presently debarred by a Regulatory Authority, including the FDA pursuant to the Generic Drug Enforcement Act of 1992, as amended (21 U.S.C. § 301,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or it has knowledge that such person is under investigation by a Regulatory Authority for debarment. In addition, Werewolf represents and warrants that to its knowledge, it has not engaged in any conduct or activity that could lead to any such debarment actions. If during the Term, (a) Werewolf or, to its knowledge, any person employed or retained by Werewolf to perform the Werewolf Development Activities comes under investigation by a Regulatory Authority for a debarment action, (b) Werewolf or any person employed or retained by Werewolf to perform the Werewolf Development Activities is debarred, or (c) Werewolf or, to its knowledge, any person employed or retained by Werewolf to perform the Werewolf Development Activities engages in any conduct or activity that could lead to debarment, Werewolf shall immediately notify Jazz of same, and Jazz shall have the right (exercisable within [**] of notice from Werewolf) to terminate this Agreement immediately upon written notice to Werewolf.</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41"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will not, in the course of conducting the Werewolf Development Activities, knowingly after due inquiry (which inquiry obligation shall not require the conduct of a freedom to operate analysis to the extent such analysis has not been previously done) infringe or misappropriate any Intellectual Property Right of any Third Party.</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will ensure that no Werewolf In-License is terminated, revoked or allowed to expire during the Term for any reason attributable to Werewolf or its Affiliates. Notwithstanding the foregoing, Werewolf shall, and shall procure that its Affiliates shall:</w:t>
      </w:r>
    </w:p>
    <w:p>
      <w:pPr>
        <w:spacing w:after="0" w:line="13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 terminate any Werewolf In-License without first obtaining Jazz’s express written consent to such</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termination;</w:t>
      </w:r>
    </w:p>
    <w:p>
      <w:pPr>
        <w:spacing w:after="0" w:line="142"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ensure that it complies, at all times, with each of its obligations under each Werewolf In-License in a</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timely manner;</w:t>
      </w:r>
    </w:p>
    <w:p>
      <w:pPr>
        <w:spacing w:after="0" w:line="155"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39"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 agree or consent to any amendment, supplement, or other modification (including termination) to any Werewolf In-License without Jazz’s prior written consent;</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8"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inform Jazz in the event that Werewolf or any Affiliate of Werewolf receives notice or other communication that any Werewolf In-License may be, or shall be terminated, or Werewolf or any Affiliate of Werewolf otherwise becomes aware that any counterparty to any Werewolf In-License is intending to terminate any Werewolf In-License, for any reason. Without limiting any other right or remedy of Jazz under this Agreement and in order to prevent, ameliorate, mitigate, or cure a breach of any Werewolf In-License by Werewolf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its Affiliates, in the event that Werewolf fails to perform any of its obligations under any Werewolf In-License, which failure is not cured within [**] after written notice from Jazz, Jazz may, at its sole discretion, perform such obligation on behalf of Werewolf, provided that Jazz shall be entitled to credit any costs, including out-of-pocket and internal costs, against any future payments otherwise owed to Werewolf under this Agreement; and</w:t>
      </w:r>
    </w:p>
    <w:p>
      <w:pPr>
        <w:spacing w:after="0" w:line="152" w:lineRule="exact"/>
        <w:rPr>
          <w:sz w:val="20"/>
          <w:szCs w:val="20"/>
          <w:color w:val="auto"/>
        </w:rPr>
      </w:pPr>
    </w:p>
    <w:p>
      <w:pPr>
        <w:jc w:val="both"/>
        <w:ind w:firstLine="1304"/>
        <w:spacing w:after="0" w:line="220" w:lineRule="auto"/>
        <w:tabs>
          <w:tab w:leader="none" w:pos="1932"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any Werewolf In-License terminates or expires, Werewolf shall, if requested by Jazz, use its best efforts to facilitate and assist Jazz and the counterparties to the relevant Werewolf In-License to agree terms on which Jazz may take a direct license to the rights in the Licensed Technology which are sublicensed under such Werewolf In-License to Jazz pursuant to this Agreement.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15.4 Warranty Disclaimer</w:t>
      </w:r>
      <w:r>
        <w:rPr>
          <w:rFonts w:ascii="Times New Roman" w:cs="Times New Roman" w:eastAsia="Times New Roman" w:hAnsi="Times New Roman"/>
          <w:sz w:val="21"/>
          <w:szCs w:val="21"/>
          <w:color w:val="auto"/>
        </w:rPr>
        <w:t>. EXCEPT AS EXPLICITLY SET FORTH IN THIS AGREEMENT, EACH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DISCLAIMS ALL OTHER WARRANTIES, EXPRESS OR IMPLIED, INCLUDING, WITHOUT LIMITATION, THE WARRANTIES OF MERCHANTABILITY, NON-INFRINGEMENT AND FITNESS FOR A PARTICULAR PURPOSE.</w:t>
      </w:r>
    </w:p>
    <w:p>
      <w:pPr>
        <w:spacing w:after="0" w:line="146"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16.1 Indemnification by Werewolf</w:t>
      </w:r>
      <w:r>
        <w:rPr>
          <w:rFonts w:ascii="Times New Roman" w:cs="Times New Roman" w:eastAsia="Times New Roman" w:hAnsi="Times New Roman"/>
          <w:sz w:val="22"/>
          <w:szCs w:val="22"/>
          <w:color w:val="auto"/>
        </w:rPr>
        <w:t>. Werewolf shall hold harmless and indemnify each Jazz Indemnitee for Damages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resulting from any claim brought by a Third Party, including a subcontractor (such claim, a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to the extent arising from:</w:t>
      </w:r>
    </w:p>
    <w:p>
      <w:pPr>
        <w:spacing w:after="0" w:line="150" w:lineRule="exact"/>
        <w:rPr>
          <w:sz w:val="20"/>
          <w:szCs w:val="20"/>
          <w:color w:val="auto"/>
        </w:rPr>
      </w:pPr>
    </w:p>
    <w:p>
      <w:pPr>
        <w:ind w:firstLine="1304"/>
        <w:spacing w:after="0" w:line="236" w:lineRule="auto"/>
        <w:tabs>
          <w:tab w:leader="none" w:pos="1939"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Exploitation of any Licensed Technology, Licensed Compound or Licensed Product prior to the Effective Date, including any manufacture of Licensed Compound;</w:t>
      </w:r>
    </w:p>
    <w:p>
      <w:pPr>
        <w:spacing w:after="0" w:line="13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performance of Werewolf’s activities under this Agreement, including the Werewolf Development</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Activities;</w:t>
      </w:r>
    </w:p>
    <w:p>
      <w:pPr>
        <w:spacing w:after="0" w:line="15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Exploitation of any Licensed Technology on or after the Effective Date other than by Jazz, its Affiliates</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 Sublicensees;</w:t>
      </w:r>
    </w:p>
    <w:p>
      <w:pPr>
        <w:spacing w:after="0" w:line="142" w:lineRule="exact"/>
        <w:rPr>
          <w:rFonts w:ascii="Times New Roman" w:cs="Times New Roman" w:eastAsia="Times New Roman" w:hAnsi="Times New Roman"/>
          <w:sz w:val="21"/>
          <w:szCs w:val="21"/>
          <w:b w:val="1"/>
          <w:bCs w:val="1"/>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of any representation or warranty made by, or covenant, or obligation of, Werewolf in this</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by Werewolf or its Affiliates of an agreement with any subcontractor relating to Werewolf Development Activities;</w:t>
      </w:r>
    </w:p>
    <w:p>
      <w:pPr>
        <w:spacing w:after="0" w:line="137"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negligence or willful misconduct of Werewolf or its Representatives in connection with this</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 or</w:t>
      </w:r>
    </w:p>
    <w:p>
      <w:pPr>
        <w:spacing w:after="0" w:line="182" w:lineRule="exact"/>
        <w:rPr>
          <w:rFonts w:ascii="Times New Roman" w:cs="Times New Roman" w:eastAsia="Times New Roman" w:hAnsi="Times New Roman"/>
          <w:sz w:val="22"/>
          <w:szCs w:val="22"/>
          <w:b w:val="1"/>
          <w:bCs w:val="1"/>
          <w:color w:val="auto"/>
        </w:rPr>
      </w:pPr>
    </w:p>
    <w:p>
      <w:pPr>
        <w:ind w:firstLine="1304"/>
        <w:spacing w:after="0" w:line="227" w:lineRule="auto"/>
        <w:tabs>
          <w:tab w:leader="none" w:pos="1941" w:val="left"/>
        </w:tabs>
        <w:numPr>
          <w:ilvl w:val="0"/>
          <w:numId w:val="13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2"/>
          <w:szCs w:val="22"/>
          <w:color w:val="auto"/>
        </w:rPr>
        <w:t>the Exploitation of any Terminated Licensed Product after the effective date of termination of this Agreement with respect thereto;</w:t>
      </w:r>
    </w:p>
    <w:p>
      <w:pPr>
        <w:spacing w:after="0" w:line="1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except in each case to the extent Jazz is obligated to indemnify Werewolf pursuant to Section 16.2 or result from the fault of a Jazz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16.2 Indemnification by Jazz</w:t>
      </w:r>
      <w:r>
        <w:rPr>
          <w:rFonts w:ascii="Times New Roman" w:cs="Times New Roman" w:eastAsia="Times New Roman" w:hAnsi="Times New Roman"/>
          <w:sz w:val="22"/>
          <w:szCs w:val="22"/>
          <w:color w:val="auto"/>
        </w:rPr>
        <w:t>. Jazz shall hold harmless and indemnify each Werewolf Indemnitee for Damages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resulting from any Third Party Claim to the extent arising from:</w:t>
      </w:r>
    </w:p>
    <w:p>
      <w:pPr>
        <w:spacing w:after="0" w:line="150" w:lineRule="exact"/>
        <w:rPr>
          <w:sz w:val="20"/>
          <w:szCs w:val="20"/>
          <w:color w:val="auto"/>
        </w:rPr>
      </w:pPr>
    </w:p>
    <w:p>
      <w:pPr>
        <w:jc w:val="both"/>
        <w:ind w:firstLine="1304"/>
        <w:spacing w:after="0" w:line="225" w:lineRule="auto"/>
        <w:tabs>
          <w:tab w:leader="none" w:pos="1939"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Exploitation of any Licensed Compound or Licensed Product by Jazz, its Affiliates and their Sublicensee during the Term, but for the avoidance of doubt, excluding any activities performed by Werewolf under this Agreement, including the Werewolf Development Activities;</w:t>
      </w:r>
    </w:p>
    <w:p>
      <w:pPr>
        <w:spacing w:after="0" w:line="13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of any representation or warranty made by, or covenant, or obligation of, Jazz in this</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 or</w:t>
      </w:r>
    </w:p>
    <w:p>
      <w:pPr>
        <w:spacing w:after="0" w:line="155"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negligence or willful misconduct of Jazz or its Representatives in connection with this Agreement;</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except in each case to the extent Werewolf is obligated to indemnify Jazz pursuant to Section 16.1 or result from the fault of a Werewolf Indemnitee.</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16.3 Indemnification Procedure</w:t>
      </w:r>
      <w:r>
        <w:rPr>
          <w:rFonts w:ascii="Times New Roman" w:cs="Times New Roman" w:eastAsia="Times New Roman" w:hAnsi="Times New Roman"/>
          <w:sz w:val="22"/>
          <w:szCs w:val="22"/>
          <w:color w:val="auto"/>
        </w:rPr>
        <w:t>. A Party that intends to claim indemnification under this Article 16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shall promptly notify the other Party (the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in writing of any Third Party Claim (including a copy of any related complaint, summons, notice or other instrument) for which such Indemnitee intends to base a request for indemnification under Sections 16.1 or 16.2; provided, that failure to give such notification shall not affect the indemnification provided under Sections 16.1 or 16.2 except to the extent the Indemnitor has been actually prejudiced as a result of such failure. Subject to Section 13.5, the Indemnitor shall have the right to control the defense and settlement of such Third Party Claim, at its sole expense, provided (i) the Indemnitor shall act reasonably and in good faith with respect to all matters relating to the settlement or disposition of the Third Party Claim, (ii) the Indemnitee shall reasonably cooperate in the investigation, defense and settlement of such Third Party Claim at the Indemnitor’s expense and (iii) neither Party will enter into any settlement agreement that attributes fault or negligence to the other Party, requires any payment by the other Party, or restricts the future actions or activities of the other Party, without the other Party’s prior written consent, which shall not be unreasonably withheld, conditioned or delayed. Any Indemnitee shall have the right to participate in, but not control, the defense and settlement of the Third Party Claim and to employ separate legal counsel of its own choice; provided, however, that such employment shall be at the Indemnitee’s own expense, unless (a) the employment thereof has been specifically authorized by the Indemnitor, or (b) the Indemnitor has failed to assume the defense and employ counsel (in which case the Indemnitee shall control the defense and settlement of such Third Party Claim). The reasonable and verifiable costs and expenses, including reasonable fees and disbursements of counsel, incurred by any Indemnitee in connection with any Third Party Claim shall be reimbursed within [**] of each Calendar Quarter by the Indemnitor subject to refund in the event the Indemnitor is ultimately held not to be obligated to indemnify the Indemnitee.</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16.4 Exercise of Remedies by Indemnitees Other Than Parties to this Agreement</w:t>
      </w:r>
      <w:r>
        <w:rPr>
          <w:rFonts w:ascii="Times New Roman" w:cs="Times New Roman" w:eastAsia="Times New Roman" w:hAnsi="Times New Roman"/>
          <w:sz w:val="21"/>
          <w:szCs w:val="21"/>
          <w:color w:val="auto"/>
        </w:rPr>
        <w:t>. No Indemnitee (other than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to this Agreement or any successor thereto or permitted assignee thereof) shall be permitted to assert any indemnification claim or exercise any other remedy under this Agreement unless the respective Party to this Agreement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indemnification (or any successor thereto or permitted assignee thereof) has consented to the assertion of such indemnification claim or the exercise of such other remedy.</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16.5 Limitation of Liability</w:t>
      </w:r>
      <w:r>
        <w:rPr>
          <w:rFonts w:ascii="Times New Roman" w:cs="Times New Roman" w:eastAsia="Times New Roman" w:hAnsi="Times New Roman"/>
          <w:sz w:val="22"/>
          <w:szCs w:val="22"/>
          <w:color w:val="auto"/>
        </w:rPr>
        <w:t>. TO THE FULLEST EXTENT PERMITTED BY APPLICABLE LAW,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NOR ANY OF ITS RESPECTIVE AFFILIATES SHALL BE LIABLE FOR ANY CONSEQUENTIAL, INCIDENTAL, SPECIAL, EXEMPLARY, PUNITIVE, INDIRECT OR MULTIPLE DAMAGES, ARISING OUT OF OR IN CONNECTION WITH THIS AGREEMENT (OR THE TERMINATION HEREOF) OR ANY RESEARCH PLAN, EVEN IF SUCH PARTY HAS BEEN ADVISED OF THE POSSIBILITY OF SUCH DAMAGES, WHETHER OR NOT FORESEEABLE AT THE EFFECTIVE DATE, ARISING. NOTWITHSTANDING THE FOREGOING, NOTHING IN THIS SECTION 16.5 IS INTENDED TO OR SHALL LIMIT OR RESTRICT THE INDEMNIFICATION RIGHTS OR OBLIGATIONS OF ANY PARTY UNDER SECTION 16.1 OR 16.2, AND THE FOREGOING LIMITATIONS SHALL NOT APPLY WITH RESPECT TO DAMAGES RESULTING FROM A PARTY’S WILLFUL MISCONDUCT OR DAMAGES AVAILABLE FOR A PARTY’S BREACH OF CONFIDENTIALITY OBLIGATIONS UNDER ARTICLE 14.</w:t>
      </w:r>
    </w:p>
    <w:p>
      <w:pPr>
        <w:spacing w:after="0" w:line="15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17.1 Term</w:t>
      </w:r>
      <w:r>
        <w:rPr>
          <w:rFonts w:ascii="Times New Roman" w:cs="Times New Roman" w:eastAsia="Times New Roman" w:hAnsi="Times New Roman"/>
          <w:sz w:val="22"/>
          <w:szCs w:val="22"/>
          <w:color w:val="auto"/>
        </w:rPr>
        <w:t>. This Agreement shall commence on the Effective Date and, unless earlier terminated as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17, shall continue in full force and effect on a Licensed Product-by-Licensed Product basis, until the expiration of the last to expire Royalty Term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17.2 Termination for Convenience</w:t>
      </w:r>
      <w:r>
        <w:rPr>
          <w:rFonts w:ascii="Times New Roman" w:cs="Times New Roman" w:eastAsia="Times New Roman" w:hAnsi="Times New Roman"/>
          <w:sz w:val="22"/>
          <w:szCs w:val="22"/>
          <w:color w:val="auto"/>
        </w:rPr>
        <w:t>. At any time during the Term, Jazz may terminate this Agreement in its entirety,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Licensed Product-by-Licensed Product basis, or on a country-by-country basis, for any or no reason, upon [**] prior written notice to Werewolf.</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17.3 Termination for Material Breach</w:t>
      </w:r>
      <w:r>
        <w:rPr>
          <w:rFonts w:ascii="Times New Roman" w:cs="Times New Roman" w:eastAsia="Times New Roman" w:hAnsi="Times New Roman"/>
          <w:sz w:val="22"/>
          <w:szCs w:val="22"/>
          <w:color w:val="auto"/>
        </w:rPr>
        <w:t>. Each Party shall have the right to terminate this Agreement in its entirety,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 Licensed Product-by-Licensed Product or country-by-country basis immediately upon written notice to the other Party if such other Party materially breaches this Agreement and has not cured such breach within [**] after receipt from the non-breaching Party of written notice specifying the breach and requesting its cure; provided that if the breaching Party is Jazz and such material breach relates solely to one (1) or more (but not all) Licensed Products, then Werewolf’s right to terminate this Agreement pursuant to this Section 17.3 shall be limited to such Licensed Product(s). If the alleged breaching Party disputes in good faith the existence or materiality of a breach specified in a notice provided by the other Party, and such alleged breaching Party provides the other Party notice of such dispute within [**], then the other Party shall not have the right to terminate this Agreement under this Section 17.3 unless and until the arbitrator, in accordance with Section 18.3, has determined that the alleged breaching Party has materially breached the Agreement and such Party fails to cure such breach within the applicable cure period set forth above following such decision (or such other cure period specified by the arbitral tribunal).</w:t>
      </w:r>
    </w:p>
    <w:p>
      <w:pPr>
        <w:spacing w:after="0" w:line="15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17.4 Termination for Insolvency</w:t>
      </w:r>
      <w:r>
        <w:rPr>
          <w:rFonts w:ascii="Times New Roman" w:cs="Times New Roman" w:eastAsia="Times New Roman" w:hAnsi="Times New Roman"/>
          <w:sz w:val="22"/>
          <w:szCs w:val="22"/>
          <w:color w:val="auto"/>
        </w:rPr>
        <w:t>. In the event that either Party (a) files for protection under bankruptcy or insolvency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(b) makes an assignment for the benefit of creditors, (c) appoints or suffers appointment of a receiver or trustee over substantially all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is not discharged within [**] after such filing, (d) proposes a written agreement of composition or extension of its debts,</w:t>
      </w:r>
    </w:p>
    <w:p>
      <w:pPr>
        <w:jc w:val="both"/>
        <w:ind w:firstLine="8"/>
        <w:spacing w:after="0" w:line="218" w:lineRule="auto"/>
        <w:tabs>
          <w:tab w:leader="none" w:pos="29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proposes or is a party to any dissolution or liquidation, or (f) files a petition under any bankruptcy or insolvency act or has any such petition filed against that is not discharged within [**] of the filing thereof, then the other Party may terminate this Agreement in its entirety effective immediately upon written notice to such Party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17.5 Jazz’s Alternative Remedy</w:t>
      </w:r>
      <w:r>
        <w:rPr>
          <w:rFonts w:ascii="Times New Roman" w:cs="Times New Roman" w:eastAsia="Times New Roman" w:hAnsi="Times New Roman"/>
          <w:sz w:val="22"/>
          <w:szCs w:val="22"/>
          <w:color w:val="auto"/>
        </w:rPr>
        <w:t>. In the event that Jazz would have the right to terminate this Agreement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17.3, Jazz may, in its sole discretion, elect to either (a) exercise such termination right, or (b) in lieu of exercising such termination right, and without limiting Jazz’s rights otherwise set forth in this Agreement, maintain this Agreement (including the licenses and other rights granted by Werewolf to Jazz under this Agreement) in full force and effect, provided that all future payments owed by Jazz to Werewolf under this Agreement will be reduced by [**] percent ([**]%), provided that under no circumstances shall any of the Development Milestone Payments, Regulatory Milestone Payments or Sales Milestone Payments be reduced by more than [**] percent ([**]%) and Section [**] shall continue to apply. All other terms of this Agreement shall continue to apply.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17.6 Werewolf’s Alternative Remedy</w:t>
      </w:r>
      <w:r>
        <w:rPr>
          <w:rFonts w:ascii="Times New Roman" w:cs="Times New Roman" w:eastAsia="Times New Roman" w:hAnsi="Times New Roman"/>
          <w:sz w:val="22"/>
          <w:szCs w:val="22"/>
          <w:color w:val="auto"/>
        </w:rPr>
        <w:t>. In the event that Werewolf would have the right to terminate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17.3 or 17.4, Werewolf may, in its sole discretion, elect to either (a) exercise such termination right, or (b) in lieu of exercising such termination right maintain this Agreement (including the licenses and other rights granted by Werewolf to Jazz under this Agreement) in full force and effect, provided that: (i) [**], and (ii) [**]. All other terms of this Agreement shall continue to apply.</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17.7</w:t>
      </w:r>
      <w:r>
        <w:rPr>
          <w:sz w:val="20"/>
          <w:szCs w:val="20"/>
          <w:color w:val="auto"/>
        </w:rPr>
        <w:tab/>
      </w:r>
      <w:r>
        <w:rPr>
          <w:rFonts w:ascii="Times New Roman" w:cs="Times New Roman" w:eastAsia="Times New Roman" w:hAnsi="Times New Roman"/>
          <w:sz w:val="21"/>
          <w:szCs w:val="21"/>
          <w:b w:val="1"/>
          <w:bCs w:val="1"/>
          <w:color w:val="auto"/>
        </w:rPr>
        <w:t>Effects of Expiration or Termination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7" w:lineRule="auto"/>
        <w:tabs>
          <w:tab w:leader="none" w:pos="1939"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Subject to Section 10.4(b), upon termination of this Agreement in its entirety, on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Product-by-Licensed Product basis or country-by-country basis for any reason, the license and rights granted in Section 3 will terminate with respect to this Agreement or the terminated country or Licensed Product, as applicable.</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8"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Sublicensees</w:t>
      </w:r>
      <w:r>
        <w:rPr>
          <w:rFonts w:ascii="Times New Roman" w:cs="Times New Roman" w:eastAsia="Times New Roman" w:hAnsi="Times New Roman"/>
          <w:sz w:val="22"/>
          <w:szCs w:val="22"/>
          <w:color w:val="auto"/>
        </w:rPr>
        <w:t>. If this Agreement terminates for any reason, then upon written notice to Werewolf and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of any Sublicensee not in breach of the applicable sublicense (or any provision of this Agreement applicable to such Sublicensee) such Sublicensee will, from the effective date of such termination, automatically become a direct licensee of Werewolf under, and subject to the terms and conditions of, this Agreement, subject only to modifications with respect to territory, field, and exclusivity consistent with the scope of the applicable sublicense and so as to accommodate all such Sublicensees. Such Sublicensees will have the right to grant further sublicenses to Third Parties of same or lesser scope as its sublicense from Jazz under the licenses contained in Section 3, provided that such further sublicenses will be in accordance with and subject to all of the terms and conditions of Section 3.2 (i.e., such Sublicensee shall be subject to this Section 3.2 in the same manner and to the same extent as Jazz). For clarity, any Person to whom a Sublicensee grants a sublicense as permitted by the terms of this Agreement shall be deemed to be a Sublicensee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ind w:firstLine="1304"/>
        <w:spacing w:after="0" w:line="238" w:lineRule="auto"/>
        <w:tabs>
          <w:tab w:leader="none" w:pos="1941"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 of Confidential Information</w:t>
      </w:r>
      <w:r>
        <w:rPr>
          <w:rFonts w:ascii="Times New Roman" w:cs="Times New Roman" w:eastAsia="Times New Roman" w:hAnsi="Times New Roman"/>
          <w:sz w:val="22"/>
          <w:szCs w:val="22"/>
          <w:color w:val="auto"/>
        </w:rPr>
        <w:t>. Upon termination of this Agreement, Receiving Party shall return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destroy all of Disclosing Party’s Confidential Information in accordance with Section 14.10.</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38"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Upon termination of this Agreement, Jazz shall reimburse Werewolf for (a) any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non-cancellable wind-down expenses incurred by Werewolf with respect to Werewolf Development Activities (including payment at the FTE Cost for Werewolf personnel engaged in such wind-down activities) that were in progress as of the effective date of termination and could not be completed prior to the effective date of such termination (except in the event that Jazz has terminated this Agreement pursuant to Sections 17.3 or 17.4) and (b) non-cancellable obligations to Third Parties that were approved in writing by Jazz and incurred by Werewolf in accordance with a Development Plan and Development Budget (except for any non-cancellable obligations to a subcontractor whose breach of this Agreement was the basis for Jazz terminating this Agreement pursuant to Section 17.3). Except as otherwise expressly provided herein, no additional amounts will be payable based on events occurring after the effective date of expiration or termination; provided that the foregoing will not be deemed to limit either Party’s indemnification obligations under this Agreement for acts or omissions incurring prior to the effective date of such expiration or termination that are the subject of such indemnification even if the indemnification amount cannot be accrued or determined as of the effective date of such expiration or termination.</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08" w:lineRule="auto"/>
        <w:tabs>
          <w:tab w:leader="none" w:pos="1941"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Negotiation</w:t>
      </w:r>
      <w:r>
        <w:rPr>
          <w:rFonts w:ascii="Times New Roman" w:cs="Times New Roman" w:eastAsia="Times New Roman" w:hAnsi="Times New Roman"/>
          <w:sz w:val="22"/>
          <w:szCs w:val="22"/>
          <w:color w:val="auto"/>
        </w:rPr>
        <w:t>. Upon termination of this Agreement, except in the event that Jazz has terminated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Sections 17.3 or 17.4, Jazz shall [**] any Licensed Product for which Jazz’s rights under this Agreement have been terminated (a “</w:t>
      </w:r>
      <w:r>
        <w:rPr>
          <w:rFonts w:ascii="Times New Roman" w:cs="Times New Roman" w:eastAsia="Times New Roman" w:hAnsi="Times New Roman"/>
          <w:sz w:val="22"/>
          <w:szCs w:val="22"/>
          <w:b w:val="1"/>
          <w:bCs w:val="1"/>
          <w:color w:val="auto"/>
        </w:rPr>
        <w:t>Terminated Licensed Product</w:t>
      </w:r>
      <w:r>
        <w:rPr>
          <w:rFonts w:ascii="Times New Roman" w:cs="Times New Roman" w:eastAsia="Times New Roman" w:hAnsi="Times New Roman"/>
          <w:sz w:val="22"/>
          <w:szCs w:val="22"/>
          <w:color w:val="auto"/>
        </w:rPr>
        <w:t xml:space="preserve">”), and transfer to Werewolf all applicable Regulatory Approvals, INDs and other regulatory materials in each case relating exclusively to the Terminated Licensed Product in the terminated countries, which [**] will require that Werewolf pay Jazz a royalty equal to [**]% of the Net Sales of such Terminated Licensed Product. For the purposes of this Section 17.7(e) ([**] Negotiation), the definitions of “Net Sales” and “Sublicensee” and the terms set forth in Sections 10.4(c) (Royalty Term), 10.4(d)(v) (One Royalty), 10.4(e) (Royalty Reports), 11.1 (Exchange Rate; Manner and Place of Payment), 11.2 (Late Payments), 11.3 (Tax), 12.2 (Financial Records of Jazz; Audits by Werewolf), and 12.3 (Confidential Financial Information)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the calculation, payment, recording and auditing of Werewolf’s obligations to make royalty payments under this Section 17.7(e) as they applied to Jazz during the Term and, solely for such purpose, each reference in each such Section (and any related definitions) to (A) Jazz will be deemed a reference to Werewolf, (B) Werewolf will be deemed to be a reference of Jazz, and (C) Licensed Product will be deemed to be a reference to Terminated Licensed Product. For clarity, Sections 10.4(d) (Royalty Adjustments) and 13.5 (Infringement Claims by Third Parties) shall not apply to the royalty payments under this Section 17.7(e), which shall not be reduced below [**]% of Net Sales during the applicable Royalty Term. The Parties shall also enter into an agreement, to be negotiated in good faith, and which the Parties have agreed will require that Werewolf pay Jazz a royalty equal to [**]% of the Net Sales of such Terminated Licensed Product, pursuant to which Jazz will (i) grant Werewolf a non-exclusive license, under all [**] Jazz Development Patents which Cover any Terminated Licensed Product, for the sole purpose of Exploiting the Terminated Licensed Product in the terminated countries, and (ii) grant Werewolf a non-exclusive license, under all Jazz Development Know-How which is necessary for or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utilized by Jazz in the Exploitation of such Terminated Licensed Product, for the sole purpose of Exploiting the Terminated Licensed Product in the terminated countries.</w:t>
      </w:r>
    </w:p>
    <w:p>
      <w:pPr>
        <w:spacing w:after="0" w:line="146" w:lineRule="exact"/>
        <w:rPr>
          <w:sz w:val="20"/>
          <w:szCs w:val="20"/>
          <w:color w:val="auto"/>
        </w:rPr>
      </w:pPr>
    </w:p>
    <w:p>
      <w:pPr>
        <w:ind w:left="1960" w:hanging="656"/>
        <w:spacing w:after="0"/>
        <w:tabs>
          <w:tab w:leader="none" w:pos="196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Wind-Down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952"/>
        <w:spacing w:after="0" w:line="213" w:lineRule="auto"/>
        <w:tabs>
          <w:tab w:leader="none" w:pos="2580"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each Clinical Trial that was Initiated by or on behalf of Jazz prior to the termination of this Agreement (whether terminated in its entirety or with respect to the Licensed Product being tested in such Clinical Trial) (an “</w:t>
      </w:r>
      <w:r>
        <w:rPr>
          <w:rFonts w:ascii="Times New Roman" w:cs="Times New Roman" w:eastAsia="Times New Roman" w:hAnsi="Times New Roman"/>
          <w:sz w:val="22"/>
          <w:szCs w:val="22"/>
          <w:b w:val="1"/>
          <w:bCs w:val="1"/>
          <w:color w:val="auto"/>
        </w:rPr>
        <w:t>Ongoing Clinical Trial</w:t>
      </w:r>
      <w:r>
        <w:rPr>
          <w:rFonts w:ascii="Times New Roman" w:cs="Times New Roman" w:eastAsia="Times New Roman" w:hAnsi="Times New Roman"/>
          <w:sz w:val="22"/>
          <w:szCs w:val="22"/>
          <w:color w:val="auto"/>
        </w:rPr>
        <w:t>”), if Jazz intends to wind down such Ongoing Clinical Trial, Jazz shall provide a written notice to Werewolf of such intention prior to commencing the wind-down process and shall not commence such wind-down if it receives from Werewolf within [**] of such notice a written request to transition such Ongoing Clinical Trial to Werewolf in accordance with Section 17.7(f)(ii). If Jazz does not receive such a request during such period, then it shall wind down such Ongoing Clinical Trial at its expense.</w:t>
      </w:r>
    </w:p>
    <w:p>
      <w:pPr>
        <w:spacing w:after="0" w:line="156" w:lineRule="exact"/>
        <w:rPr>
          <w:rFonts w:ascii="Times New Roman" w:cs="Times New Roman" w:eastAsia="Times New Roman" w:hAnsi="Times New Roman"/>
          <w:sz w:val="22"/>
          <w:szCs w:val="22"/>
          <w:b w:val="1"/>
          <w:bCs w:val="1"/>
          <w:color w:val="auto"/>
        </w:rPr>
      </w:pPr>
    </w:p>
    <w:p>
      <w:pPr>
        <w:jc w:val="both"/>
        <w:ind w:firstLine="1952"/>
        <w:spacing w:after="0" w:line="213" w:lineRule="auto"/>
        <w:tabs>
          <w:tab w:leader="none" w:pos="2586"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Werewolf timely requests transition of any Ongoing Clinical Trial pursuant to Section 17.7(f)(i), then Werewolf will assume responsibility for such Ongoing Clinical Trial, Jazz shall provide reasonable cooperation to Werewolf and its designee(s), at Werewolf’s cost and expense, to facilitate, and the Parties shall use reasonable efforts to effect, a reasonable, orderly, and prompt transition of such Ongoing Clinical Trial and transfer of all applicable clinical trial agreements, Regulatory Approvals, INDs and other regulatory materials to Werewolf and/or its designee(s). Any costs, fees and expenses arising from the transfer of any Ongoing Clinical Trials to Werewolf shall be borne: by Werewolf and, to the extent incurred by or on behalf of Jazz, shall be promptly reimbursed by Werewolf.</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17.8 Commercial Wind-Down </w:t>
      </w:r>
      <w:r>
        <w:rPr>
          <w:rFonts w:ascii="Times New Roman" w:cs="Times New Roman" w:eastAsia="Times New Roman" w:hAnsi="Times New Roman"/>
          <w:sz w:val="22"/>
          <w:szCs w:val="22"/>
          <w:color w:val="auto"/>
        </w:rPr>
        <w:t>. Jazz, its Affiliates and Sublicensees shall be entitled to continue to sell (but not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actively promote after the effective date of termination) any existing inventory of Licensed Products in respect of which this Agreement has been terminated, in accordance with the terms and conditions of this Agreement, including all payment obligations, for a period of [**] after the effective date of such termination.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17.9</w:t>
      </w:r>
      <w:r>
        <w:rPr>
          <w:sz w:val="20"/>
          <w:szCs w:val="20"/>
          <w:color w:val="auto"/>
        </w:rPr>
        <w:tab/>
      </w:r>
      <w:r>
        <w:rPr>
          <w:rFonts w:ascii="Times New Roman" w:cs="Times New Roman" w:eastAsia="Times New Roman" w:hAnsi="Times New Roman"/>
          <w:sz w:val="21"/>
          <w:szCs w:val="21"/>
          <w:b w:val="1"/>
          <w:bCs w:val="1"/>
          <w:color w:val="auto"/>
        </w:rPr>
        <w:t>Clinical and Commercial Supplies and Manufacturing.</w:t>
      </w:r>
    </w:p>
    <w:p>
      <w:pPr>
        <w:spacing w:after="0" w:line="179" w:lineRule="exact"/>
        <w:rPr>
          <w:sz w:val="20"/>
          <w:szCs w:val="20"/>
          <w:color w:val="auto"/>
        </w:rPr>
      </w:pPr>
    </w:p>
    <w:p>
      <w:pPr>
        <w:jc w:val="both"/>
        <w:ind w:firstLine="1304"/>
        <w:spacing w:after="0" w:line="213" w:lineRule="auto"/>
        <w:tabs>
          <w:tab w:leader="none" w:pos="1939"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Clinical Supplies. </w:t>
      </w:r>
      <w:r>
        <w:rPr>
          <w:rFonts w:ascii="Times New Roman" w:cs="Times New Roman" w:eastAsia="Times New Roman" w:hAnsi="Times New Roman"/>
          <w:sz w:val="22"/>
          <w:szCs w:val="22"/>
          <w:color w:val="auto"/>
        </w:rPr>
        <w:t>Upon termination of this Agreement, except in the event that Jazz has terminated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Sections 17.3 or 17.4 and upon Werewolf’s request Jazz shall transfer to Werewolf all existing and available inventory of Terminated Licensed Product held by Jazz for Clinical Trials (“</w:t>
      </w:r>
      <w:r>
        <w:rPr>
          <w:rFonts w:ascii="Times New Roman" w:cs="Times New Roman" w:eastAsia="Times New Roman" w:hAnsi="Times New Roman"/>
          <w:sz w:val="22"/>
          <w:szCs w:val="22"/>
          <w:b w:val="1"/>
          <w:bCs w:val="1"/>
          <w:color w:val="auto"/>
        </w:rPr>
        <w:t>Clinical Material</w:t>
      </w:r>
      <w:r>
        <w:rPr>
          <w:rFonts w:ascii="Times New Roman" w:cs="Times New Roman" w:eastAsia="Times New Roman" w:hAnsi="Times New Roman"/>
          <w:sz w:val="22"/>
          <w:szCs w:val="22"/>
          <w:color w:val="auto"/>
        </w:rPr>
        <w:t>”) and all existing documentation as to the quality of such Clinical Material that is required or reasonably useful for continued or further Clinical Trials and Werewolf shall pay to Jazz an amount equal to the Costs of Goods with respect thereto within [**] of Jazz’s invoice therefor. Jazz will disclose to Werewolf any known issues concerning such Clinical Materials that might reasonably subject Werewolf to liability through the use of such Clinical Material, and Werewolf shall have the option to not receive such Clinical Material.</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Commercial Supplies. </w:t>
      </w:r>
      <w:r>
        <w:rPr>
          <w:rFonts w:ascii="Times New Roman" w:cs="Times New Roman" w:eastAsia="Times New Roman" w:hAnsi="Times New Roman"/>
          <w:sz w:val="22"/>
          <w:szCs w:val="22"/>
          <w:color w:val="auto"/>
        </w:rPr>
        <w:t>Upon termination of this Agreement, except in the event that Jazz has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pursuant to Section 17.3 or 17.4 and if a Terminated Licensed Product is being marketed in any terminated country on the effective date of termination, Jazz shall manufacture and supply to Werewolf the marketed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Licensed Product for a period of up to [**] from the effective date of termination of this Agreement, at a price of [**] percent ([**]%) of the Cost of Goods with respect thereto.</w:t>
      </w:r>
    </w:p>
    <w:p>
      <w:pPr>
        <w:spacing w:after="0" w:line="146" w:lineRule="exact"/>
        <w:rPr>
          <w:sz w:val="20"/>
          <w:szCs w:val="20"/>
          <w:color w:val="auto"/>
        </w:rPr>
      </w:pPr>
    </w:p>
    <w:p>
      <w:pPr>
        <w:jc w:val="both"/>
        <w:ind w:firstLine="1304"/>
        <w:spacing w:after="0" w:line="218" w:lineRule="auto"/>
        <w:tabs>
          <w:tab w:leader="none" w:pos="1941"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Manufacturing Process Transfer. </w:t>
      </w:r>
      <w:r>
        <w:rPr>
          <w:rFonts w:ascii="Times New Roman" w:cs="Times New Roman" w:eastAsia="Times New Roman" w:hAnsi="Times New Roman"/>
          <w:sz w:val="22"/>
          <w:szCs w:val="22"/>
          <w:color w:val="auto"/>
        </w:rPr>
        <w:t>Jazz shall promptly, at Werewolf’s cost and expense,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transfer to transfer the Terminated Licensed Compound and Terminated Licensed Product manufacturing processes to Werewolf, its nominated Affiliate or a Third Party contract manufacturer designated by Werewolf including all Jazz Development Know-How which is necessary or useful to manufacture or have manufactured the Terminated Licensed Compounds and Terminated Licensed Product.</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17.10 Accrued Rights; Surviving Obligations</w:t>
      </w:r>
      <w:r>
        <w:rPr>
          <w:rFonts w:ascii="Times New Roman" w:cs="Times New Roman" w:eastAsia="Times New Roman" w:hAnsi="Times New Roman"/>
          <w:sz w:val="22"/>
          <w:szCs w:val="22"/>
          <w:color w:val="auto"/>
        </w:rPr>
        <w:t>. Termination or expiration of this Agreement for any reason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prejudice to any rights that have accrued to the benefit of a Party prior to such termination or expiration. The rights and remedies of the Parties hereto shall be cumulative and not alternative. Such termination or expiration shall not relieve a Party from obligations that are expressly indicated to survive the termination or expiration of this Agreement. Without limiting the foregoing, the following Articles and Sections shall survive such termination or expiration: Sections 10.4(c) (last sentence only), 13.2, 15.4, 17.7, 17.8, 17.9, 17.10, and 19.5 through 19.16, and Articles 12, 14, 16, and 18.</w:t>
      </w:r>
    </w:p>
    <w:p>
      <w:pPr>
        <w:spacing w:after="0" w:line="146"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DISPUTE RESOLUTION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18.1 Governing Law</w:t>
      </w:r>
      <w:r>
        <w:rPr>
          <w:rFonts w:ascii="Times New Roman" w:cs="Times New Roman" w:eastAsia="Times New Roman" w:hAnsi="Times New Roman"/>
          <w:sz w:val="22"/>
          <w:szCs w:val="22"/>
          <w:color w:val="auto"/>
        </w:rPr>
        <w:t>. This Agreement shall be governed in all respects by the laws of the State of New York,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to choice of law doctrines or statutes with the exception of sections 5-1401 and 5-1402 of New York General Obligations Law. The United Nations Convention of International Contracts on the Sale of Goods does not apply to this Agreement and is expressly and entirely excluded.</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18.2 Resolution by Executive Sponsors</w:t>
      </w:r>
      <w:r>
        <w:rPr>
          <w:rFonts w:ascii="Times New Roman" w:cs="Times New Roman" w:eastAsia="Times New Roman" w:hAnsi="Times New Roman"/>
          <w:sz w:val="22"/>
          <w:szCs w:val="22"/>
          <w:color w:val="auto"/>
        </w:rPr>
        <w:t>. The Parties recognize that disputes as to certain matters may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arise during the term of this Agreement which relate to either Party’s rights and/or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18.2 to resolve any controversy or claim arising out of, relating to or in connection with any provision of this Agreement, if and when a dispute arises under this Agreement. With respect to all disputes arising between the Parties under this Agreement, including, without limitation, any alleged breach under this Agreement or any issue relating to the interpretation or application of this Agreement, if the Parties are unable to resolve such dispute within [**] after such dispute is first identified by either Party in writing to the other, the Parties shall refer such dispute to the Executive Sponsors for attempted resolution by good faith negotiations within [**] after such notice is received. If the Executive Sponsors are unable to resolve the dispute, controversy or claim through amicable internal resolution in accordance with this Section 18.2 within [**] after the matter was referred to them and either Party wishes to pursue the matter, such Party may submit such matter for resolution in accordance with Section 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18.3</w:t>
      </w:r>
      <w:r>
        <w:rPr>
          <w:sz w:val="20"/>
          <w:szCs w:val="20"/>
          <w:color w:val="auto"/>
        </w:rPr>
        <w:tab/>
      </w:r>
      <w:r>
        <w:rPr>
          <w:rFonts w:ascii="Times New Roman" w:cs="Times New Roman" w:eastAsia="Times New Roman" w:hAnsi="Times New Roman"/>
          <w:sz w:val="21"/>
          <w:szCs w:val="21"/>
          <w:b w:val="1"/>
          <w:bCs w:val="1"/>
          <w:color w:val="auto"/>
        </w:rPr>
        <w:t>Arbitration.</w:t>
      </w:r>
    </w:p>
    <w:p>
      <w:pPr>
        <w:spacing w:after="0" w:line="183" w:lineRule="exact"/>
        <w:rPr>
          <w:sz w:val="20"/>
          <w:szCs w:val="20"/>
          <w:color w:val="auto"/>
        </w:rPr>
      </w:pPr>
    </w:p>
    <w:p>
      <w:pPr>
        <w:jc w:val="both"/>
        <w:ind w:firstLine="1304"/>
        <w:spacing w:after="0" w:line="217" w:lineRule="auto"/>
        <w:tabs>
          <w:tab w:leader="none" w:pos="1939"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dispute that is not resolved pursuant to Section 18.2 shall be finally settled by arbitration in accordance with the then-current rules of the American Arbitration Association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by a single arbitrator selected in accordance with the Rules. The seat of arbitration shall be located in New York City, New York, United States. The language to be used in the arbitral proceedings will be English. Any situation not expressly covered by this Agreement shall be decided in accordance with the Rules.</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arbitrator shall issue a reasoned opinion following a full comprehensive hearing, no later than [**] following the selection of the arbitrator as provided for in Section 18.3(a) unless the Parties jointly request an extension or the arbitrator determines in a reasoned decision that the interest of justice or the complexity of the case requires that such limit be extended.</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41"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award shall be promptly paid in United States Dollars free of any tax, deduction or offset; and any costs, fees or taxes incident to enforcing the award shall, to the maximum extent permitted by Applicable Law, be charged against the Party resisting enforcement. Each Party agrees to abide by the award rendered in any arbitration conducted pursuant to this Section 18.3(c), and agrees that judgment may be entered in any court of competent jurisdiction and the Parties hereby consent to the jurisdiction of such court for purposes of enforcement of such award.</w:t>
      </w:r>
    </w:p>
    <w:p>
      <w:pPr>
        <w:spacing w:after="0" w:line="152"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38"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shall bear its own legal fees and expenses arising out of the dispute resolution procedures described in this Section 18.3 and shall pay an equal share of the fees and expenses of the arbitrator.</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24" w:lineRule="auto"/>
        <w:tabs>
          <w:tab w:leader="none" w:pos="1941"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arbitration proceeding shall be confidential and the arbitrator shall issue appropriate protective orders to safeguard each Party’s Confidential Information. Except as required by Applicable Law,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arbitrators, except (i) as required in connection with the enforcement of such award, (ii) as otherwise required by Applicable Law or required of a Party to fulfill a legal duty or protect or pursue a legal right, (iii) with the consent of both Parties, or (iv) where such information is already in the public domain other than as a result of a breach of this clause.</w:t>
      </w:r>
    </w:p>
    <w:p>
      <w:pPr>
        <w:spacing w:after="0" w:line="150" w:lineRule="exact"/>
        <w:rPr>
          <w:rFonts w:ascii="Times New Roman" w:cs="Times New Roman" w:eastAsia="Times New Roman" w:hAnsi="Times New Roman"/>
          <w:sz w:val="21"/>
          <w:szCs w:val="21"/>
          <w:b w:val="1"/>
          <w:bCs w:val="1"/>
          <w:color w:val="auto"/>
        </w:rPr>
      </w:pPr>
    </w:p>
    <w:p>
      <w:pPr>
        <w:jc w:val="both"/>
        <w:ind w:firstLine="1304"/>
        <w:spacing w:after="0" w:line="225" w:lineRule="auto"/>
        <w:tabs>
          <w:tab w:leader="none" w:pos="1944"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Nothing contained in this Agreement shall deny either Party the right to seek injunctive or other equitable relief, including specific performance, from a court of competent jurisdiction in the context of a bona fide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Patents or other Intellectual Property Rights, and no such claim shall be subject to arbitration pursuant to this Section 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18.4 Trial by Jury Waiver</w:t>
      </w:r>
      <w:r>
        <w:rPr>
          <w:rFonts w:ascii="Times New Roman" w:cs="Times New Roman" w:eastAsia="Times New Roman" w:hAnsi="Times New Roman"/>
          <w:sz w:val="22"/>
          <w:szCs w:val="22"/>
          <w:color w:val="auto"/>
        </w:rPr>
        <w:t>. TO THE EXTENT NOT PROHIBITED BY APPLICABLE LAW THAT CANNOT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WAIVED, EACH PARTY HERETO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THE SUBJECT MATTER HEREOF OR ANY AGREEMENT CONTEMPLATED TO BE EXECUTED IN CONNECTION HEREWITH, OR ANY COURSE OF CONDUCT, COURSE OF DEALING, STATEMENTS (WHETHER VERBAL OR WRITTEN) OR ACTIONS OF ANY PARTY HERETO IN CONNECTION WITH ANY SUCH AGREEMENTS, WHETHER NOW EXISTING OR HEREAFTER ARISING AND WHETHER SOUNDING IN TORT OR CONTRACT OR OTHERWISE. ANY PARTY HERETO MAY FILE AN ORIGINAL COUNTERPART OR A COPY OF THIS SECTION 18.4 WITH ANY COURT AS WRITTEN EVIDENCE OF THE CONSENT OF EACH SUCH PARTY TO THE WAIVER OF ITS RIGHT TO TRIAL BY JURY.</w:t>
      </w:r>
    </w:p>
    <w:p>
      <w:pPr>
        <w:spacing w:after="0" w:line="15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19.1   [**]. </w:t>
      </w:r>
      <w:r>
        <w:rPr>
          <w:rFonts w:ascii="Times New Roman" w:cs="Times New Roman" w:eastAsia="Times New Roman" w:hAnsi="Times New Roman"/>
          <w:sz w:val="22"/>
          <w:szCs w:val="22"/>
          <w:color w:val="auto"/>
        </w:rPr>
        <w:t>Notwithstanding Section 4.2 above:</w:t>
      </w:r>
    </w:p>
    <w:p>
      <w:pPr>
        <w:spacing w:after="0" w:line="183" w:lineRule="exact"/>
        <w:rPr>
          <w:rFonts w:ascii="Times New Roman" w:cs="Times New Roman" w:eastAsia="Times New Roman" w:hAnsi="Times New Roman"/>
          <w:sz w:val="22"/>
          <w:szCs w:val="22"/>
          <w:b w:val="1"/>
          <w:bCs w:val="1"/>
          <w:color w:val="auto"/>
        </w:rPr>
      </w:pPr>
    </w:p>
    <w:p>
      <w:pPr>
        <w:ind w:left="1060" w:firstLine="1297"/>
        <w:spacing w:after="0" w:line="236" w:lineRule="auto"/>
        <w:tabs>
          <w:tab w:leader="none" w:pos="3242" w:val="left"/>
        </w:tabs>
        <w:numPr>
          <w:ilvl w:val="2"/>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 any product [**], shall not be deemed an Equivalent Product for the purposes of Section 4.2; and</w:t>
      </w:r>
    </w:p>
    <w:p>
      <w:pPr>
        <w:spacing w:after="0" w:line="150" w:lineRule="exact"/>
        <w:rPr>
          <w:rFonts w:ascii="Times New Roman" w:cs="Times New Roman" w:eastAsia="Times New Roman" w:hAnsi="Times New Roman"/>
          <w:sz w:val="22"/>
          <w:szCs w:val="22"/>
          <w:b w:val="1"/>
          <w:bCs w:val="1"/>
          <w:color w:val="auto"/>
        </w:rPr>
      </w:pPr>
    </w:p>
    <w:p>
      <w:pPr>
        <w:ind w:left="1060" w:firstLine="1297"/>
        <w:spacing w:after="0" w:line="236" w:lineRule="auto"/>
        <w:tabs>
          <w:tab w:leader="none" w:pos="3241" w:val="left"/>
        </w:tabs>
        <w:numPr>
          <w:ilvl w:val="2"/>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19.1(a) if, after the Effective Date, there is a [**] which results in [**], then if [**], for the period set out in Section 4.2, either:</w:t>
      </w:r>
    </w:p>
    <w:p>
      <w:pPr>
        <w:spacing w:after="0" w:line="150"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1"/>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or</w:t>
      </w:r>
    </w:p>
    <w:p>
      <w:pPr>
        <w:spacing w:after="0" w:line="179"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6" w:val="left"/>
        </w:tabs>
        <w:numPr>
          <w:ilvl w:val="1"/>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institute [**] to ensure that the [**] under this Agreement [**] and that [**], including by [**] and the [**] under this Agreement [**] under this Agreement.</w:t>
      </w:r>
    </w:p>
    <w:p>
      <w:pPr>
        <w:spacing w:after="0" w:line="14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19.2 Rights Upon Bankruptcy</w:t>
      </w:r>
      <w:r>
        <w:rPr>
          <w:rFonts w:ascii="Times New Roman" w:cs="Times New Roman" w:eastAsia="Times New Roman" w:hAnsi="Times New Roman"/>
          <w:sz w:val="21"/>
          <w:szCs w:val="21"/>
          <w:color w:val="auto"/>
        </w:rPr>
        <w:t>. All rights and licenses granted under or pursuant to this Agreement are,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be deemed to be, for purposes of Section 365(n) of Title 11 of the United States Code and other similar laws in any jurisdiction outside the United States (collectively, the “</w:t>
      </w:r>
      <w:r>
        <w:rPr>
          <w:rFonts w:ascii="Times New Roman" w:cs="Times New Roman" w:eastAsia="Times New Roman" w:hAnsi="Times New Roman"/>
          <w:sz w:val="21"/>
          <w:szCs w:val="21"/>
          <w:b w:val="1"/>
          <w:bCs w:val="1"/>
          <w:color w:val="auto"/>
        </w:rPr>
        <w:t>Bankruptcy Laws</w:t>
      </w:r>
      <w:r>
        <w:rPr>
          <w:rFonts w:ascii="Times New Roman" w:cs="Times New Roman" w:eastAsia="Times New Roman" w:hAnsi="Times New Roman"/>
          <w:sz w:val="21"/>
          <w:szCs w:val="21"/>
          <w:color w:val="auto"/>
        </w:rPr>
        <w:t>”), licenses of rights to be “intellectual property” as defined under the Bankruptcy Laws. If a case is commenced during the Term by or against Werewolf under Bankruptcy Laws then, unless and until this Agreement is rejected as provided in such Bankruptcy Laws, Werewolf (in any capacity, including debtor-in-possession) and its successors and assigns (including a trustee) shall perform all of the obligations provided in this Agreement to be performed by Werewolf. If a case is commenced during the Term by or against Werewolf under the Bankruptcy Laws, this Agreement is rejected as provided in the Bankruptcy Laws and Jazz elects to retain its rights hereunder as provided in the Bankruptcy Laws, then Werewolf (in any capacity, including debtor-in-possession) and its successors and assigns (including a Title 11 trustee), shall provide to Jazz copies of all information necessary for Jazz to prosecute, maintain and enjoy its rights under the terms of this Agreement promptly upon Jazz’s written request therefor. All rights, powers and remedies of Jazz as provided herein are in addition to and not in substitution for any and all other rights, powers and remedies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hereafter existing at law or in equity (including the Bankruptcy Laws) in the event of the commencement of a case by or against a Party under the Bankruptcy Laws.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19.3 Jazz Affiliates</w:t>
      </w:r>
      <w:r>
        <w:rPr>
          <w:rFonts w:ascii="Times New Roman" w:cs="Times New Roman" w:eastAsia="Times New Roman" w:hAnsi="Times New Roman"/>
          <w:sz w:val="22"/>
          <w:szCs w:val="22"/>
          <w:color w:val="auto"/>
        </w:rPr>
        <w:t>. Without prejudice to the provisions of any Section in this Agreement that explicitly refers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Jazz’s Affiliates, the Parties agree that any Affiliates of Jazz may exercise any of the rights granted to Jazz in this Agreement or perform any of Jazz’s obligations in this Agreement provided that Jazz shall be responsible for the performance of any of its obligations that are performed by its Affiliates.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19.4 Further Assurances</w:t>
      </w:r>
      <w:r>
        <w:rPr>
          <w:rFonts w:ascii="Times New Roman" w:cs="Times New Roman" w:eastAsia="Times New Roman" w:hAnsi="Times New Roman"/>
          <w:sz w:val="22"/>
          <w:szCs w:val="22"/>
          <w:color w:val="auto"/>
        </w:rPr>
        <w:t>. Each Party shall execute and cause to be delivered to each other Party such instruments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documents, and shall take such other actions, as such other Party may reasonably request (at or after the Effective Date) and at the sole cost and expense of such other Party, for the purpose of carrying out or evidencing this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19.5 Notices</w:t>
      </w:r>
      <w:r>
        <w:rPr>
          <w:rFonts w:ascii="Times New Roman" w:cs="Times New Roman" w:eastAsia="Times New Roman" w:hAnsi="Times New Roman"/>
          <w:sz w:val="22"/>
          <w:szCs w:val="22"/>
          <w:color w:val="auto"/>
        </w:rPr>
        <w:t>. Any notice or other communication required or permitted to be delivered to any Party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delivered, given, and received when delivered (by hand, by international courier or by e-mail (with confirmation of receipt)) to the address or e-mail address set forth beneath the name of such Party below (or to such other address or e-mail address as such Party shall have specified in a written notice given to the other Parties hereto):</w:t>
      </w:r>
    </w:p>
    <w:p>
      <w:pPr>
        <w:spacing w:after="0" w:line="192" w:lineRule="exact"/>
        <w:rPr>
          <w:sz w:val="20"/>
          <w:szCs w:val="20"/>
          <w:color w:val="auto"/>
        </w:rPr>
      </w:pPr>
    </w:p>
    <w:p>
      <w:pPr>
        <w:ind w:left="560"/>
        <w:spacing w:after="0"/>
        <w:tabs>
          <w:tab w:leader="none" w:pos="4280" w:val="left"/>
        </w:tabs>
        <w:rPr>
          <w:sz w:val="20"/>
          <w:szCs w:val="20"/>
          <w:color w:val="auto"/>
        </w:rPr>
      </w:pPr>
      <w:r>
        <w:rPr>
          <w:rFonts w:ascii="Times New Roman" w:cs="Times New Roman" w:eastAsia="Times New Roman" w:hAnsi="Times New Roman"/>
          <w:sz w:val="22"/>
          <w:szCs w:val="22"/>
          <w:color w:val="auto"/>
        </w:rPr>
        <w:t>if to Werewolf:</w:t>
      </w:r>
      <w:r>
        <w:rPr>
          <w:sz w:val="20"/>
          <w:szCs w:val="20"/>
          <w:color w:val="auto"/>
        </w:rPr>
        <w:tab/>
      </w:r>
      <w:r>
        <w:rPr>
          <w:rFonts w:ascii="Times New Roman" w:cs="Times New Roman" w:eastAsia="Times New Roman" w:hAnsi="Times New Roman"/>
          <w:sz w:val="21"/>
          <w:szCs w:val="21"/>
          <w:color w:val="auto"/>
        </w:rPr>
        <w:t>Werewolf Therapeutics, Inc.</w:t>
      </w:r>
    </w:p>
    <w:p>
      <w:pPr>
        <w:ind w:left="4300"/>
        <w:spacing w:after="0" w:line="204" w:lineRule="auto"/>
        <w:rPr>
          <w:sz w:val="20"/>
          <w:szCs w:val="20"/>
          <w:color w:val="auto"/>
        </w:rPr>
      </w:pPr>
      <w:r>
        <w:rPr>
          <w:rFonts w:ascii="Times New Roman" w:cs="Times New Roman" w:eastAsia="Times New Roman" w:hAnsi="Times New Roman"/>
          <w:sz w:val="22"/>
          <w:szCs w:val="22"/>
          <w:color w:val="auto"/>
        </w:rPr>
        <w:t>1030 Massachusetts Avenue, Suite 210</w:t>
      </w:r>
    </w:p>
    <w:p>
      <w:pPr>
        <w:ind w:left="4300"/>
        <w:spacing w:after="0" w:line="205" w:lineRule="auto"/>
        <w:rPr>
          <w:sz w:val="20"/>
          <w:szCs w:val="20"/>
          <w:color w:val="auto"/>
        </w:rPr>
      </w:pPr>
      <w:r>
        <w:rPr>
          <w:rFonts w:ascii="Times New Roman" w:cs="Times New Roman" w:eastAsia="Times New Roman" w:hAnsi="Times New Roman"/>
          <w:sz w:val="22"/>
          <w:szCs w:val="22"/>
          <w:color w:val="auto"/>
        </w:rPr>
        <w:t>Cambridge, MA 02138</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Attn: Legal Department</w:t>
      </w:r>
    </w:p>
    <w:p>
      <w:pPr>
        <w:ind w:left="580"/>
        <w:spacing w:after="0" w:line="231" w:lineRule="auto"/>
        <w:tabs>
          <w:tab w:leader="none" w:pos="4300" w:val="left"/>
        </w:tabs>
        <w:rPr>
          <w:sz w:val="20"/>
          <w:szCs w:val="20"/>
          <w:color w:val="auto"/>
        </w:rPr>
      </w:pPr>
      <w:r>
        <w:rPr>
          <w:rFonts w:ascii="Times New Roman" w:cs="Times New Roman" w:eastAsia="Times New Roman" w:hAnsi="Times New Roman"/>
          <w:sz w:val="22"/>
          <w:szCs w:val="22"/>
          <w:color w:val="auto"/>
        </w:rPr>
        <w:t>with a copy (which shall</w:t>
      </w:r>
      <w:r>
        <w:rPr>
          <w:sz w:val="20"/>
          <w:szCs w:val="20"/>
          <w:color w:val="auto"/>
        </w:rPr>
        <w:tab/>
      </w:r>
      <w:r>
        <w:rPr>
          <w:rFonts w:ascii="Times New Roman" w:cs="Times New Roman" w:eastAsia="Times New Roman" w:hAnsi="Times New Roman"/>
          <w:sz w:val="21"/>
          <w:szCs w:val="21"/>
          <w:color w:val="auto"/>
        </w:rPr>
        <w:t>[**]</w:t>
      </w:r>
    </w:p>
    <w:p>
      <w:pPr>
        <w:ind w:left="580"/>
        <w:spacing w:after="0"/>
        <w:rPr>
          <w:sz w:val="20"/>
          <w:szCs w:val="20"/>
          <w:color w:val="auto"/>
        </w:rPr>
      </w:pPr>
      <w:r>
        <w:rPr>
          <w:rFonts w:ascii="Times New Roman" w:cs="Times New Roman" w:eastAsia="Times New Roman" w:hAnsi="Times New Roman"/>
          <w:sz w:val="22"/>
          <w:szCs w:val="22"/>
          <w:color w:val="auto"/>
        </w:rPr>
        <w:t>not constitute notice) to:</w:t>
      </w:r>
    </w:p>
    <w:p>
      <w:pPr>
        <w:ind w:left="56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if to Jazz:</w:t>
      </w:r>
      <w:r>
        <w:rPr>
          <w:sz w:val="20"/>
          <w:szCs w:val="20"/>
          <w:color w:val="auto"/>
        </w:rPr>
        <w:tab/>
      </w:r>
      <w:r>
        <w:rPr>
          <w:rFonts w:ascii="Times New Roman" w:cs="Times New Roman" w:eastAsia="Times New Roman" w:hAnsi="Times New Roman"/>
          <w:sz w:val="21"/>
          <w:szCs w:val="21"/>
          <w:color w:val="auto"/>
        </w:rPr>
        <w:t>Jazz Pharmaceuticals Ireland Limited</w:t>
      </w:r>
    </w:p>
    <w:p>
      <w:pPr>
        <w:ind w:left="4300"/>
        <w:spacing w:after="0" w:line="204" w:lineRule="auto"/>
        <w:rPr>
          <w:sz w:val="20"/>
          <w:szCs w:val="20"/>
          <w:color w:val="auto"/>
        </w:rPr>
      </w:pPr>
      <w:r>
        <w:rPr>
          <w:rFonts w:ascii="Times New Roman" w:cs="Times New Roman" w:eastAsia="Times New Roman" w:hAnsi="Times New Roman"/>
          <w:sz w:val="22"/>
          <w:szCs w:val="22"/>
          <w:color w:val="auto"/>
        </w:rPr>
        <w:t>Fifth Floor, Waterloo Exchange</w:t>
      </w:r>
    </w:p>
    <w:p>
      <w:pPr>
        <w:ind w:left="4300"/>
        <w:spacing w:after="0" w:line="205" w:lineRule="auto"/>
        <w:rPr>
          <w:sz w:val="20"/>
          <w:szCs w:val="20"/>
          <w:color w:val="auto"/>
        </w:rPr>
      </w:pPr>
      <w:r>
        <w:rPr>
          <w:rFonts w:ascii="Times New Roman" w:cs="Times New Roman" w:eastAsia="Times New Roman" w:hAnsi="Times New Roman"/>
          <w:sz w:val="22"/>
          <w:szCs w:val="22"/>
          <w:color w:val="auto"/>
        </w:rPr>
        <w:t>Waterloo Road, Dublin 4, Ireland</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Attention: General Counsel</w:t>
      </w:r>
    </w:p>
    <w:p>
      <w:pPr>
        <w:sectPr>
          <w:pgSz w:w="11900" w:h="16838" w:orient="portrait"/>
          <w:cols w:equalWidth="0" w:num="1">
            <w:col w:w="11240"/>
          </w:cols>
          <w:pgMar w:left="320" w:top="1440" w:right="339" w:bottom="1440" w:gutter="0" w:footer="0" w:header="0"/>
        </w:sectPr>
      </w:pPr>
    </w:p>
    <w:p>
      <w:pPr>
        <w:ind w:left="600"/>
        <w:spacing w:after="0" w:line="221" w:lineRule="auto"/>
        <w:rPr>
          <w:sz w:val="20"/>
          <w:szCs w:val="20"/>
          <w:color w:val="auto"/>
        </w:rPr>
      </w:pPr>
      <w:r>
        <w:rPr>
          <w:rFonts w:ascii="Times New Roman" w:cs="Times New Roman" w:eastAsia="Times New Roman" w:hAnsi="Times New Roman"/>
          <w:sz w:val="22"/>
          <w:szCs w:val="22"/>
          <w:color w:val="auto"/>
        </w:rPr>
        <w:t>with a copy (which shall</w:t>
      </w:r>
    </w:p>
    <w:p>
      <w:pPr>
        <w:ind w:left="600"/>
        <w:spacing w:after="0"/>
        <w:rPr>
          <w:sz w:val="20"/>
          <w:szCs w:val="20"/>
          <w:color w:val="auto"/>
        </w:rPr>
      </w:pPr>
      <w:r>
        <w:rPr>
          <w:rFonts w:ascii="Times New Roman" w:cs="Times New Roman" w:eastAsia="Times New Roman" w:hAnsi="Times New Roman"/>
          <w:sz w:val="22"/>
          <w:szCs w:val="22"/>
          <w:color w:val="auto"/>
        </w:rPr>
        <w:t>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with a copy (which shall</w:t>
      </w:r>
    </w:p>
    <w:p>
      <w:pPr>
        <w:ind w:left="600"/>
        <w:spacing w:after="0" w:line="225" w:lineRule="auto"/>
        <w:rPr>
          <w:sz w:val="20"/>
          <w:szCs w:val="20"/>
          <w:color w:val="auto"/>
        </w:rPr>
      </w:pPr>
      <w:r>
        <w:rPr>
          <w:rFonts w:ascii="Times New Roman" w:cs="Times New Roman" w:eastAsia="Times New Roman" w:hAnsi="Times New Roman"/>
          <w:sz w:val="22"/>
          <w:szCs w:val="22"/>
          <w:color w:val="auto"/>
        </w:rPr>
        <w:t>not constitute notice) via electronic mail to:</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Times New Roman" w:cs="Times New Roman" w:eastAsia="Times New Roman" w:hAnsi="Times New Roman"/>
          <w:sz w:val="22"/>
          <w:szCs w:val="22"/>
          <w:color w:val="auto"/>
        </w:rPr>
        <w:t>Jazz Pharmaceuticals, Inc.</w:t>
      </w:r>
    </w:p>
    <w:p>
      <w:pPr>
        <w:spacing w:after="0" w:line="204" w:lineRule="auto"/>
        <w:rPr>
          <w:sz w:val="20"/>
          <w:szCs w:val="20"/>
          <w:color w:val="auto"/>
        </w:rPr>
      </w:pPr>
      <w:r>
        <w:rPr>
          <w:rFonts w:ascii="Times New Roman" w:cs="Times New Roman" w:eastAsia="Times New Roman" w:hAnsi="Times New Roman"/>
          <w:sz w:val="22"/>
          <w:szCs w:val="22"/>
          <w:color w:val="auto"/>
        </w:rPr>
        <w:t>3170 Porter Drive</w:t>
      </w:r>
    </w:p>
    <w:p>
      <w:pPr>
        <w:spacing w:after="0" w:line="205" w:lineRule="auto"/>
        <w:rPr>
          <w:sz w:val="20"/>
          <w:szCs w:val="20"/>
          <w:color w:val="auto"/>
        </w:rPr>
      </w:pPr>
      <w:r>
        <w:rPr>
          <w:rFonts w:ascii="Times New Roman" w:cs="Times New Roman" w:eastAsia="Times New Roman" w:hAnsi="Times New Roman"/>
          <w:sz w:val="22"/>
          <w:szCs w:val="22"/>
          <w:color w:val="auto"/>
        </w:rPr>
        <w:t>Palo Alto, CA 94304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1"/>
          <w:szCs w:val="21"/>
          <w:color w:val="auto"/>
        </w:rPr>
        <w:t>Attention: Legal Department</w:t>
      </w:r>
    </w:p>
    <w:p>
      <w:pPr>
        <w:spacing w:after="0" w:line="729" w:lineRule="exact"/>
        <w:rPr>
          <w:sz w:val="20"/>
          <w:szCs w:val="20"/>
          <w:color w:val="auto"/>
        </w:rPr>
      </w:pPr>
    </w:p>
    <w:p>
      <w:pPr>
        <w:sectPr>
          <w:pgSz w:w="11900" w:h="16838" w:orient="portrait"/>
          <w:cols w:equalWidth="0" w:num="2">
            <w:col w:w="4080" w:space="220"/>
            <w:col w:w="6940"/>
          </w:cols>
          <w:pgMar w:left="320" w:top="1440" w:right="339" w:bottom="1440" w:gutter="0" w:footer="0" w:header="0"/>
          <w:type w:val="continuous"/>
        </w:sectPr>
      </w:pPr>
    </w:p>
    <w:p>
      <w:pPr>
        <w:spacing w:after="0" w:line="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19.6 Independent Contractors</w:t>
      </w:r>
      <w:r>
        <w:rPr>
          <w:rFonts w:ascii="Times New Roman" w:cs="Times New Roman" w:eastAsia="Times New Roman" w:hAnsi="Times New Roman"/>
          <w:sz w:val="21"/>
          <w:szCs w:val="21"/>
          <w:color w:val="auto"/>
        </w:rPr>
        <w:t>. Each Party is performing its obligations hereunder as an independent contractor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full power, authority and responsibility to select the means, methods and manner of its performance. Nothing contained herein will be deemed to create an employment, agency, joint venture or partnership relationship between the Parties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19.7 Assignment</w:t>
      </w:r>
      <w:r>
        <w:rPr>
          <w:rFonts w:ascii="Times New Roman" w:cs="Times New Roman" w:eastAsia="Times New Roman" w:hAnsi="Times New Roman"/>
          <w:sz w:val="22"/>
          <w:szCs w:val="22"/>
          <w:color w:val="auto"/>
        </w:rPr>
        <w:t>. Neither Party may assign or transfer this Agreement or any rights or obligations hereunder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written consent of the other Party, except that either Party may make such an assignment or transfer without the other Party’s consent, but upon written notice to the other Party, to its Affiliate or to the successor to all or substantially all of the business to which this Agreement relates (whether by merger, acquisition, consolidation, sale of assets, sale of a majority of the direct or indirect equity interests in such Party or otherwise). Any permitted assignment shall be binding on the successors, heirs and assigns of the assigning Party. Any assignment or attempted assignment by a Party in violation of the terms of this Section 19.7 shall be null and void.</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19.8</w:t>
      </w:r>
      <w:r>
        <w:rPr>
          <w:sz w:val="20"/>
          <w:szCs w:val="20"/>
          <w:color w:val="auto"/>
        </w:rPr>
        <w:tab/>
      </w:r>
      <w:r>
        <w:rPr>
          <w:rFonts w:ascii="Times New Roman" w:cs="Times New Roman" w:eastAsia="Times New Roman" w:hAnsi="Times New Roman"/>
          <w:sz w:val="21"/>
          <w:szCs w:val="21"/>
          <w:b w:val="1"/>
          <w:bCs w:val="1"/>
          <w:color w:val="auto"/>
        </w:rPr>
        <w:t>Waiver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39"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Person shall be deemed to have waived any condition or claim arising out of this Agreement, or any power, right, privilege, or remedy under this Agreement, unless the waiver of such condition,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19.9 Amendments</w:t>
      </w:r>
      <w:r>
        <w:rPr>
          <w:rFonts w:ascii="Times New Roman" w:cs="Times New Roman" w:eastAsia="Times New Roman" w:hAnsi="Times New Roman"/>
          <w:sz w:val="22"/>
          <w:szCs w:val="22"/>
          <w:color w:val="auto"/>
        </w:rPr>
        <w:t>. This Agreement may not be amended, modified, altered, or supplemented other than by means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instrument duly executed and delivered on behalf of Jazz and Werewolf.</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19.10 Severability</w:t>
      </w:r>
      <w:r>
        <w:rPr>
          <w:rFonts w:ascii="Times New Roman" w:cs="Times New Roman" w:eastAsia="Times New Roman" w:hAnsi="Times New Roman"/>
          <w:sz w:val="22"/>
          <w:szCs w:val="22"/>
          <w:color w:val="auto"/>
        </w:rPr>
        <w:t>. In the event that any provision of this Agreement, or the application of such provision to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will not be affected and will continue to be valid and enforceable to the fullest extent permitted by law. In lieu of such invalid, unlawful, void, or unenforceable provision, there shall be added automatically as a part of this Agreement a legal, valid, and enforceable provision as similar in terms to such invalid, unlawful, void, or unenforceable provision as may be possible and reasonably acceptable to the Parties.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19.11 Entire Agreement</w:t>
      </w:r>
      <w:r>
        <w:rPr>
          <w:rFonts w:ascii="Times New Roman" w:cs="Times New Roman" w:eastAsia="Times New Roman" w:hAnsi="Times New Roman"/>
          <w:sz w:val="22"/>
          <w:szCs w:val="22"/>
          <w:color w:val="auto"/>
        </w:rPr>
        <w:t>. This Agreement, including all Schedules and attachments hereto,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of the Parties relating to the subject matter thereof and supersede all prior agreements and understandings among or between any of the Parties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to the subject matter thereof, including the Confidentiality Agreement. No Party shall be bound by any representation other than as expressly stated in this Agreement.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19.12 Force Majeure</w:t>
      </w:r>
      <w:r>
        <w:rPr>
          <w:rFonts w:ascii="Times New Roman" w:cs="Times New Roman" w:eastAsia="Times New Roman" w:hAnsi="Times New Roman"/>
          <w:sz w:val="22"/>
          <w:szCs w:val="22"/>
          <w:color w:val="auto"/>
        </w:rPr>
        <w:t>. Neither Party shall be liable for any failure to meet its obligations under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due to any cause beyond its reasonable control, including acts of God, including hurricanes, floods, epidemics, pandemics, government mandated lockdown or quarantine, and severe weather, strikes or lockouts, labor disputes or shortages, embargoes, acts of terrorism, war, riot, malicious acts or damage, or accidents as a result of any cause beyond its reasonable control (each, a “</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The affected Party shall promptly notify the other Party of a Force Majeure Event, explaining the nature, details and expected duration thereof. The affected Party shall use commercially reasonable efforts to remedy, remove or mitigate such Force Majeure Event and the effects thereof as soon as practicable. The affected Party shall also keep the other Party reasonably informed as to when it reasonably expects to resume performance in whole or in part of its obligations hereunder and notify the other Party if the cessation of any such Force Majeure Event. The suspension of performance shall be of no greater scope and no longer duration than is reasonably required; provided, however, that in the event the suspension of performance continues for [**] after the date of the initial occurrence of the Force Majeure Event, the Parties shall work in good faith to generate a commercially reasonably plan to resolve such Force Majeure Event within [**] after the date of the initial occurrence of the Force Majeure Event.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19.13 No Third Party Rights. </w:t>
      </w:r>
      <w:r>
        <w:rPr>
          <w:rFonts w:ascii="Times New Roman" w:cs="Times New Roman" w:eastAsia="Times New Roman" w:hAnsi="Times New Roman"/>
          <w:sz w:val="22"/>
          <w:szCs w:val="22"/>
          <w:color w:val="auto"/>
        </w:rPr>
        <w:t>Except for the rights of the Werewolf Indemnitees and Jazz Indemnitees set forth 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Article 16, the provisions of this Agreement are for the exclusive benefit of the Parties, and no other person or entity shall have any right or claim against either party by reason of these provisions or be entitled to enforce any of these provisions against either Party.</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19.14 Headings; Interpretation</w:t>
      </w:r>
      <w:r>
        <w:rPr>
          <w:rFonts w:ascii="Times New Roman" w:cs="Times New Roman" w:eastAsia="Times New Roman" w:hAnsi="Times New Roman"/>
          <w:sz w:val="22"/>
          <w:szCs w:val="22"/>
          <w:color w:val="auto"/>
        </w:rPr>
        <w:t>. The headings of clauses contained in this Agreement preceding the text of the sections,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and vice versa. The term “including” or “includes” as used in this Agreement means including, without limiting the generality of any description preceding such term, and the word “or” has the inclusive meaning represented by the phrase “and/or.” Unless otherwise specified, references in this Agreement to any section shall include all subsections and paragraphs in such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19.15 English Language</w:t>
      </w:r>
      <w:r>
        <w:rPr>
          <w:rFonts w:ascii="Times New Roman" w:cs="Times New Roman" w:eastAsia="Times New Roman" w:hAnsi="Times New Roman"/>
          <w:sz w:val="22"/>
          <w:szCs w:val="22"/>
          <w:color w:val="auto"/>
        </w:rPr>
        <w:t>. All notices required or permitted to be given hereunder, and all written, electronic,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communications between the Parties regarding this Agreement shall be in the English language. This Agreement was prepared in the English language, which language shall govern the interpretation of, and any dispute regarding, the terms of this Agreement. In the event of any inconsistency or conflict between the English version of this Agreement and any translation of this Agreement into any other language,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19.16 Counterparts</w:t>
      </w:r>
      <w:r>
        <w:rPr>
          <w:rFonts w:ascii="Times New Roman" w:cs="Times New Roman" w:eastAsia="Times New Roman" w:hAnsi="Times New Roman"/>
          <w:sz w:val="22"/>
          <w:szCs w:val="22"/>
          <w:color w:val="auto"/>
        </w:rPr>
        <w:t>. This Agreement may be executed in counterparts and by electronic (i.e., pdf) or facsimile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transmission, each of which shall constitute an original and all of which, when taken together, shall constitute one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and delivered as of the Effective</w:t>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2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Jazz Pharmaceuticals</w:t>
            </w:r>
          </w:p>
        </w:tc>
        <w:tc>
          <w:tcPr>
            <w:tcW w:w="6000" w:type="dxa"/>
            <w:vAlign w:val="bottom"/>
            <w:gridSpan w:val="7"/>
          </w:tcPr>
          <w:p>
            <w:pPr>
              <w:ind w:left="3400"/>
              <w:spacing w:after="0"/>
              <w:rPr>
                <w:sz w:val="20"/>
                <w:szCs w:val="20"/>
                <w:color w:val="auto"/>
              </w:rPr>
            </w:pPr>
            <w:r>
              <w:rPr>
                <w:rFonts w:ascii="Times New Roman" w:cs="Times New Roman" w:eastAsia="Times New Roman" w:hAnsi="Times New Roman"/>
                <w:sz w:val="22"/>
                <w:szCs w:val="22"/>
                <w:b w:val="1"/>
                <w:bCs w:val="1"/>
                <w:color w:val="auto"/>
                <w:w w:val="96"/>
              </w:rPr>
              <w:t>Werewolf Therapeutics, Inc.</w:t>
            </w:r>
          </w:p>
        </w:tc>
      </w:tr>
      <w:tr>
        <w:trPr>
          <w:trHeight w:val="286"/>
        </w:trPr>
        <w:tc>
          <w:tcPr>
            <w:tcW w:w="22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Ireland Limited</w:t>
            </w: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83"/>
        </w:trPr>
        <w:tc>
          <w:tcPr>
            <w:tcW w:w="22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Signed: /s/ Hugh Kiely</w:t>
            </w:r>
          </w:p>
        </w:tc>
        <w:tc>
          <w:tcPr>
            <w:tcW w:w="6000" w:type="dxa"/>
            <w:vAlign w:val="bottom"/>
            <w:gridSpan w:val="7"/>
          </w:tcPr>
          <w:p>
            <w:pPr>
              <w:ind w:left="3400"/>
              <w:spacing w:after="0"/>
              <w:rPr>
                <w:sz w:val="20"/>
                <w:szCs w:val="20"/>
                <w:color w:val="auto"/>
              </w:rPr>
            </w:pPr>
            <w:r>
              <w:rPr>
                <w:rFonts w:ascii="Times New Roman" w:cs="Times New Roman" w:eastAsia="Times New Roman" w:hAnsi="Times New Roman"/>
                <w:sz w:val="22"/>
                <w:szCs w:val="22"/>
                <w:color w:val="auto"/>
              </w:rPr>
              <w:t>Signed: /s/ Dan Hicklin</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2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Name: Hugh Kiely</w:t>
            </w:r>
          </w:p>
        </w:tc>
        <w:tc>
          <w:tcPr>
            <w:tcW w:w="6000" w:type="dxa"/>
            <w:vAlign w:val="bottom"/>
            <w:gridSpan w:val="7"/>
          </w:tcPr>
          <w:p>
            <w:pPr>
              <w:ind w:left="3400"/>
              <w:spacing w:after="0"/>
              <w:rPr>
                <w:sz w:val="20"/>
                <w:szCs w:val="20"/>
                <w:color w:val="auto"/>
              </w:rPr>
            </w:pPr>
            <w:r>
              <w:rPr>
                <w:rFonts w:ascii="Times New Roman" w:cs="Times New Roman" w:eastAsia="Times New Roman" w:hAnsi="Times New Roman"/>
                <w:sz w:val="22"/>
                <w:szCs w:val="22"/>
                <w:color w:val="auto"/>
              </w:rPr>
              <w:t>Name: Dan Hicklin</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2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 Director</w:t>
            </w:r>
          </w:p>
        </w:tc>
        <w:tc>
          <w:tcPr>
            <w:tcW w:w="6000" w:type="dxa"/>
            <w:vAlign w:val="bottom"/>
            <w:gridSpan w:val="7"/>
          </w:tcPr>
          <w:p>
            <w:pPr>
              <w:ind w:left="3400"/>
              <w:spacing w:after="0"/>
              <w:rPr>
                <w:sz w:val="20"/>
                <w:szCs w:val="20"/>
                <w:color w:val="auto"/>
              </w:rPr>
            </w:pPr>
            <w:r>
              <w:rPr>
                <w:rFonts w:ascii="Times New Roman" w:cs="Times New Roman" w:eastAsia="Times New Roman" w:hAnsi="Times New Roman"/>
                <w:sz w:val="22"/>
                <w:szCs w:val="22"/>
                <w:color w:val="auto"/>
              </w:rPr>
              <w:t>Title: CEO</w:t>
            </w:r>
          </w:p>
        </w:tc>
      </w:tr>
      <w:tr>
        <w:trPr>
          <w:trHeight w:val="20"/>
        </w:trPr>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240"/>
          </w:cols>
          <w:pgMar w:left="320" w:top="139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J. Hicklin, certify that:</w:t>
      </w:r>
    </w:p>
    <w:p>
      <w:pPr>
        <w:spacing w:after="0" w:line="185" w:lineRule="exact"/>
        <w:rPr>
          <w:sz w:val="20"/>
          <w:szCs w:val="20"/>
          <w:color w:val="auto"/>
        </w:rPr>
      </w:pPr>
    </w:p>
    <w:p>
      <w:pPr>
        <w:ind w:left="500" w:hanging="492"/>
        <w:spacing w:after="0"/>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Werewolf Therapeutics,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980" w:hanging="486"/>
        <w:spacing w:after="0" w:line="266" w:lineRule="auto"/>
        <w:tabs>
          <w:tab w:leader="none" w:pos="89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100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66" w:lineRule="auto"/>
        <w:tabs>
          <w:tab w:leader="none" w:pos="90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87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87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8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Daniel J. Hicklin</w:t>
            </w:r>
          </w:p>
        </w:tc>
      </w:tr>
      <w:tr>
        <w:trPr>
          <w:trHeight w:val="218"/>
        </w:trPr>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J. Hicklin, Ph.D.</w:t>
            </w:r>
          </w:p>
        </w:tc>
      </w:tr>
      <w:tr>
        <w:trPr>
          <w:trHeight w:val="180"/>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W. Trost, certify that:</w:t>
      </w:r>
    </w:p>
    <w:p>
      <w:pPr>
        <w:spacing w:after="0" w:line="185" w:lineRule="exact"/>
        <w:rPr>
          <w:sz w:val="20"/>
          <w:szCs w:val="20"/>
          <w:color w:val="auto"/>
        </w:rPr>
      </w:pPr>
    </w:p>
    <w:p>
      <w:pPr>
        <w:ind w:left="500" w:hanging="492"/>
        <w:spacing w:after="0"/>
        <w:tabs>
          <w:tab w:leader="none" w:pos="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Werewolf Therapeutics,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980" w:hanging="486"/>
        <w:spacing w:after="0" w:line="266" w:lineRule="auto"/>
        <w:tabs>
          <w:tab w:leader="none" w:pos="8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100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66" w:lineRule="auto"/>
        <w:tabs>
          <w:tab w:leader="none" w:pos="90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875"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87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8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Timothy W. Trost</w:t>
            </w:r>
          </w:p>
        </w:tc>
      </w:tr>
      <w:tr>
        <w:trPr>
          <w:trHeight w:val="218"/>
        </w:trPr>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W. Trost</w:t>
            </w:r>
          </w:p>
        </w:tc>
      </w:tr>
      <w:tr>
        <w:trPr>
          <w:trHeight w:val="180"/>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0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CEO AND CFO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Werewolf Therapeutics, Inc. (the “Company”) for the period ending March 31, 2022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spacing w:after="0" w:line="135" w:lineRule="exact"/>
        <w:rPr>
          <w:sz w:val="20"/>
          <w:szCs w:val="20"/>
          <w:color w:val="auto"/>
        </w:rPr>
      </w:pPr>
    </w:p>
    <w:p>
      <w:pPr>
        <w:ind w:left="880" w:hanging="386"/>
        <w:spacing w:after="0"/>
        <w:tabs>
          <w:tab w:leader="none" w:pos="8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10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J. Hicklin</w:t>
            </w:r>
          </w:p>
        </w:tc>
      </w:tr>
      <w:tr>
        <w:trPr>
          <w:trHeight w:val="218"/>
        </w:trPr>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J. Hicklin, Ph.D.</w:t>
            </w:r>
          </w:p>
        </w:tc>
      </w:tr>
      <w:tr>
        <w:trPr>
          <w:trHeight w:val="180"/>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0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W. Trost</w:t>
            </w:r>
          </w:p>
        </w:tc>
      </w:tr>
      <w:tr>
        <w:trPr>
          <w:trHeight w:val="218"/>
        </w:trPr>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W. Trost</w:t>
            </w:r>
          </w:p>
        </w:tc>
      </w:tr>
      <w:tr>
        <w:trPr>
          <w:trHeight w:val="180"/>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0"/>
        </w:trPr>
        <w:tc>
          <w:tcPr>
            <w:tcW w:w="2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1)"/>
      <w:numFmt w:val="lowerRoman"/>
      <w:start w:val="2"/>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lowerLetter"/>
      <w:start w:val="2"/>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lowerRoman"/>
      <w:start w:val="1"/>
    </w:lvl>
  </w:abstractNum>
  <w:abstractNum w:abstractNumId="55">
    <w:nsid w:val="3FA62ACA"/>
    <w:multiLevelType w:val="hybridMultilevel"/>
    <w:lvl w:ilvl="0">
      <w:lvlJc w:val="left"/>
      <w:lvlText w:val="(%1)"/>
      <w:numFmt w:val="lowerRoman"/>
      <w:start w:val="2"/>
    </w:lvl>
  </w:abstractNum>
  <w:abstractNum w:abstractNumId="56">
    <w:nsid w:val="14FCE74E"/>
    <w:multiLevelType w:val="hybridMultilevel"/>
    <w:lvl w:ilvl="0">
      <w:lvlJc w:val="left"/>
      <w:lvlText w:val="(%1)"/>
      <w:numFmt w:val="lowerLetter"/>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1."/>
      <w:numFmt w:val="decimal"/>
      <w:start w:val="2"/>
    </w:lvl>
  </w:abstractNum>
  <w:abstractNum w:abstractNumId="59">
    <w:nsid w:val="9DAF632"/>
    <w:multiLevelType w:val="hybridMultilevel"/>
    <w:lvl w:ilvl="0">
      <w:lvlJc w:val="left"/>
      <w:lvlText w:val="(%1)"/>
      <w:numFmt w:val="lowerLetter"/>
      <w:start w:val="1"/>
    </w:lvl>
  </w:abstractNum>
  <w:abstractNum w:abstractNumId="60">
    <w:nsid w:val="53299938"/>
    <w:multiLevelType w:val="hybridMultilevel"/>
    <w:lvl w:ilvl="0">
      <w:lvlJc w:val="left"/>
      <w:lvlText w:val="(%1)"/>
      <w:numFmt w:val="lowerLetter"/>
      <w:start w:val="3"/>
    </w:lvl>
  </w:abstractNum>
  <w:abstractNum w:abstractNumId="61">
    <w:nsid w:val="1FBFE8E0"/>
    <w:multiLevelType w:val="hybridMultilevel"/>
    <w:lvl w:ilvl="0">
      <w:lvlJc w:val="left"/>
      <w:lvlText w:val="[**]"/>
      <w:numFmt w:val="bullet"/>
      <w:start w:val="1"/>
    </w:lvl>
    <w:lvl w:ilvl="1">
      <w:lvlJc w:val="left"/>
      <w:lvlText w:val="(%2)"/>
      <w:numFmt w:val="lowerLetter"/>
      <w:start w:val="1"/>
    </w:lvl>
  </w:abstractNum>
  <w:abstractNum w:abstractNumId="62">
    <w:nsid w:val="5092CA79"/>
    <w:multiLevelType w:val="hybridMultilevel"/>
    <w:lvl w:ilvl="0">
      <w:lvlJc w:val="left"/>
      <w:lvlText w:val="(%1)"/>
      <w:numFmt w:val="lowerLetter"/>
      <w:start w:val="3"/>
    </w:lvl>
  </w:abstractNum>
  <w:abstractNum w:abstractNumId="63">
    <w:nsid w:val="1D545C4D"/>
    <w:multiLevelType w:val="hybridMultilevel"/>
    <w:lvl w:ilvl="0">
      <w:lvlJc w:val="left"/>
      <w:lvlText w:val="(%1)"/>
      <w:numFmt w:val="lowerLetter"/>
      <w:start w:val="1"/>
    </w:lvl>
    <w:lvl w:ilvl="1">
      <w:lvlJc w:val="left"/>
      <w:lvlText w:val="(%2)"/>
      <w:numFmt w:val="lowerRoman"/>
      <w:start w:val="1"/>
    </w:lvl>
  </w:abstractNum>
  <w:abstractNum w:abstractNumId="64">
    <w:nsid w:val="59ADEA3D"/>
    <w:multiLevelType w:val="hybridMultilevel"/>
    <w:lvl w:ilvl="0">
      <w:lvlJc w:val="left"/>
      <w:lvlText w:val="%1."/>
      <w:numFmt w:val="decimal"/>
      <w:start w:val="3"/>
    </w:lvl>
    <w:lvl w:ilvl="1">
      <w:lvlJc w:val="left"/>
      <w:lvlText w:val="(%2)"/>
      <w:numFmt w:val="lowerLetter"/>
      <w:start w:val="1"/>
    </w:lvl>
  </w:abstractNum>
  <w:abstractNum w:abstractNumId="65">
    <w:nsid w:val="288F1A34"/>
    <w:multiLevelType w:val="hybridMultilevel"/>
    <w:lvl w:ilvl="0">
      <w:lvlJc w:val="left"/>
      <w:lvlText w:val="(%1)"/>
      <w:numFmt w:val="lowerLetter"/>
      <w:start w:val="1"/>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decimal"/>
      <w:start w:val="4"/>
    </w:lvl>
  </w:abstractNum>
  <w:abstractNum w:abstractNumId="68">
    <w:nsid w:val="97E1B4E"/>
    <w:multiLevelType w:val="hybridMultilevel"/>
    <w:lvl w:ilvl="0">
      <w:lvlJc w:val="left"/>
      <w:lvlText w:val="%1."/>
      <w:numFmt w:val="decimal"/>
      <w:start w:val="5"/>
    </w:lvl>
    <w:lvl w:ilvl="1">
      <w:lvlJc w:val="left"/>
      <w:lvlText w:val="(%2)"/>
      <w:numFmt w:val="lowerLetter"/>
      <w:start w:val="1"/>
    </w:lvl>
  </w:abstractNum>
  <w:abstractNum w:abstractNumId="69">
    <w:nsid w:val="51088277"/>
    <w:multiLevelType w:val="hybridMultilevel"/>
    <w:lvl w:ilvl="0">
      <w:lvlJc w:val="left"/>
      <w:lvlText w:val="(%1)"/>
      <w:numFmt w:val="lowerLetter"/>
      <w:start w:val="3"/>
    </w:lvl>
    <w:lvl w:ilvl="1">
      <w:lvlJc w:val="left"/>
      <w:lvlText w:val="(%2)"/>
      <w:numFmt w:val="lowerRoman"/>
      <w:start w:val="1"/>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decimal"/>
      <w:start w:val="6"/>
    </w:lvl>
  </w:abstractNum>
  <w:abstractNum w:abstractNumId="72">
    <w:nsid w:val="415E286C"/>
    <w:multiLevelType w:val="hybridMultilevel"/>
    <w:lvl w:ilvl="0">
      <w:lvlJc w:val="left"/>
      <w:lvlText w:val="(%1)"/>
      <w:numFmt w:val="lowerLetter"/>
      <w:start w:val="1"/>
    </w:lvl>
  </w:abstractNum>
  <w:abstractNum w:abstractNumId="73">
    <w:nsid w:val="7C58FD05"/>
    <w:multiLevelType w:val="hybridMultilevel"/>
    <w:lvl w:ilvl="0">
      <w:lvlJc w:val="left"/>
      <w:lvlText w:val="[**]"/>
      <w:numFmt w:val="bullet"/>
      <w:start w:val="1"/>
    </w:lvl>
    <w:lvl w:ilvl="1">
      <w:lvlJc w:val="left"/>
      <w:lvlText w:val="(%2)"/>
      <w:numFmt w:val="lowerLetter"/>
      <w:start w:val="1"/>
    </w:lvl>
  </w:abstractNum>
  <w:abstractNum w:abstractNumId="74">
    <w:nsid w:val="23D86AAC"/>
    <w:multiLevelType w:val="hybridMultilevel"/>
    <w:lvl w:ilvl="0">
      <w:lvlJc w:val="left"/>
      <w:lvlText w:val="[**]"/>
      <w:numFmt w:val="bullet"/>
      <w:start w:val="1"/>
    </w:lvl>
    <w:lvl w:ilvl="1">
      <w:lvlJc w:val="left"/>
      <w:lvlText w:val="(%2)"/>
      <w:numFmt w:val="lowerLetter"/>
      <w:start w:val="4"/>
    </w:lvl>
  </w:abstractNum>
  <w:abstractNum w:abstractNumId="75">
    <w:nsid w:val="45E6D486"/>
    <w:multiLevelType w:val="hybridMultilevel"/>
    <w:lvl w:ilvl="0">
      <w:lvlJc w:val="left"/>
      <w:lvlText w:val="(%1)"/>
      <w:numFmt w:val="lowerLetter"/>
      <w:start w:val="1"/>
    </w:lvl>
  </w:abstractNum>
  <w:abstractNum w:abstractNumId="76">
    <w:nsid w:val="5C10FE21"/>
    <w:multiLevelType w:val="hybridMultilevel"/>
    <w:lvl w:ilvl="0">
      <w:lvlJc w:val="left"/>
      <w:lvlText w:val="%1"/>
      <w:numFmt w:val="lowerLetter"/>
      <w:start w:val="1"/>
    </w:lvl>
    <w:lvl w:ilvl="1">
      <w:lvlJc w:val="left"/>
      <w:lvlText w:val="(%2)"/>
      <w:numFmt w:val="lowerLetter"/>
      <w:start w:val="1"/>
    </w:lvl>
  </w:abstractNum>
  <w:abstractNum w:abstractNumId="77">
    <w:nsid w:val="E7FFA2B"/>
    <w:multiLevelType w:val="hybridMultilevel"/>
    <w:lvl w:ilvl="0">
      <w:lvlJc w:val="left"/>
      <w:lvlText w:val="(%1)"/>
      <w:numFmt w:val="lowerLetter"/>
      <w:start w:val="9"/>
    </w:lvl>
    <w:lvl w:ilvl="1">
      <w:lvlJc w:val="left"/>
      <w:lvlText w:val="(%2)"/>
      <w:numFmt w:val="lowerLetter"/>
      <w:start w:val="3"/>
    </w:lvl>
  </w:abstractNum>
  <w:abstractNum w:abstractNumId="78">
    <w:nsid w:val="3C5991AA"/>
    <w:multiLevelType w:val="hybridMultilevel"/>
    <w:lvl w:ilvl="0">
      <w:lvlJc w:val="left"/>
      <w:lvlText w:val="(%1)"/>
      <w:numFmt w:val="lowerLetter"/>
      <w:start w:val="4"/>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decimal"/>
      <w:start w:val="1"/>
    </w:lvl>
    <w:lvl w:ilvl="1">
      <w:lvlJc w:val="left"/>
      <w:lvlText w:val="(%2)"/>
      <w:numFmt w:val="lowerLetter"/>
      <w:start w:val="1"/>
    </w:lvl>
  </w:abstractNum>
  <w:abstractNum w:abstractNumId="81">
    <w:nsid w:val="39B7AAA2"/>
    <w:multiLevelType w:val="hybridMultilevel"/>
    <w:lvl w:ilvl="0">
      <w:lvlJc w:val="left"/>
      <w:lvlText w:val="%1."/>
      <w:numFmt w:val="decimal"/>
      <w:start w:val="7"/>
    </w:lvl>
    <w:lvl w:ilvl="1">
      <w:lvlJc w:val="left"/>
      <w:lvlText w:val="%2"/>
      <w:numFmt w:val="lowerLetter"/>
      <w:start w:val="1"/>
    </w:lvl>
  </w:abstractNum>
  <w:abstractNum w:abstractNumId="82">
    <w:nsid w:val="2B0D8DBE"/>
    <w:multiLevelType w:val="hybridMultilevel"/>
    <w:lvl w:ilvl="0">
      <w:lvlJc w:val="left"/>
      <w:lvlText w:val="%1."/>
      <w:numFmt w:val="decimal"/>
      <w:start w:val="8"/>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Roman"/>
      <w:start w:val="1"/>
    </w:lvl>
  </w:abstractNum>
  <w:abstractNum w:abstractNumId="85">
    <w:nsid w:val="69E373"/>
    <w:multiLevelType w:val="hybridMultilevel"/>
    <w:lvl w:ilvl="0">
      <w:lvlJc w:val="left"/>
      <w:lvlText w:val="(%1)"/>
      <w:numFmt w:val="lowerRoman"/>
      <w:start w:val="5"/>
    </w:lvl>
  </w:abstractNum>
  <w:abstractNum w:abstractNumId="86">
    <w:nsid w:val="2C27173B"/>
    <w:multiLevelType w:val="hybridMultilevel"/>
    <w:lvl w:ilvl="0">
      <w:lvlJc w:val="left"/>
      <w:lvlText w:val="%1."/>
      <w:numFmt w:val="decimal"/>
      <w:start w:val="9"/>
    </w:lvl>
  </w:abstractNum>
  <w:abstractNum w:abstractNumId="87">
    <w:nsid w:val="4C9B0904"/>
    <w:multiLevelType w:val="hybridMultilevel"/>
    <w:lvl w:ilvl="0">
      <w:lvlJc w:val="left"/>
      <w:lvlText w:val="%1."/>
      <w:numFmt w:val="decimal"/>
      <w:start w:val="10"/>
    </w:lvl>
  </w:abstractNum>
  <w:abstractNum w:abstractNumId="88">
    <w:nsid w:val="6AA7B75C"/>
    <w:multiLevelType w:val="hybridMultilevel"/>
    <w:lvl w:ilvl="0">
      <w:lvlJc w:val="left"/>
      <w:lvlText w:val="(%1)"/>
      <w:numFmt w:val="lowerLetter"/>
      <w:start w:val="1"/>
    </w:lvl>
  </w:abstractNum>
  <w:abstractNum w:abstractNumId="89">
    <w:nsid w:val="1DF029D3"/>
    <w:multiLevelType w:val="hybridMultilevel"/>
    <w:lvl w:ilvl="0">
      <w:lvlJc w:val="left"/>
      <w:lvlText w:val="(%1)"/>
      <w:numFmt w:val="lowerLetter"/>
      <w:start w:val="2"/>
    </w:lvl>
  </w:abstractNum>
  <w:abstractNum w:abstractNumId="90">
    <w:nsid w:val="5675FF36"/>
    <w:multiLevelType w:val="hybridMultilevel"/>
    <w:lvl w:ilvl="0">
      <w:lvlJc w:val="left"/>
      <w:lvlText w:val="(%1)"/>
      <w:numFmt w:val="lowerLetter"/>
      <w:start w:val="3"/>
    </w:lvl>
    <w:lvl w:ilvl="1">
      <w:lvlJc w:val="left"/>
      <w:lvlText w:val="(%2)"/>
      <w:numFmt w:val="lowerRoman"/>
      <w:start w:val="1"/>
    </w:lvl>
  </w:abstractNum>
  <w:abstractNum w:abstractNumId="91">
    <w:nsid w:val="3DD1509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92">
    <w:nsid w:val="3DB012B3"/>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1"/>
    </w:lvl>
  </w:abstractNum>
  <w:abstractNum w:abstractNumId="93">
    <w:nsid w:val="2708C9AF"/>
    <w:multiLevelType w:val="hybridMultilevel"/>
    <w:lvl w:ilvl="0">
      <w:lvlJc w:val="left"/>
      <w:lvlText w:val="[**]"/>
      <w:numFmt w:val="bullet"/>
      <w:start w:val="1"/>
    </w:lvl>
    <w:lvl w:ilvl="1">
      <w:lvlJc w:val="left"/>
      <w:lvlText w:val="(%2)"/>
      <w:numFmt w:val="lowerLetter"/>
      <w:start w:val="8"/>
    </w:lvl>
    <w:lvl w:ilvl="2">
      <w:lvlJc w:val="left"/>
      <w:lvlText w:val="%3"/>
      <w:numFmt w:val="lowerLetter"/>
      <w:start w:val="1"/>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lowerLetter"/>
      <w:start w:val="2"/>
    </w:lvl>
  </w:abstractNum>
  <w:abstractNum w:abstractNumId="96">
    <w:nsid w:val="4F97E3E4"/>
    <w:multiLevelType w:val="hybridMultilevel"/>
    <w:lvl w:ilvl="0">
      <w:lvlJc w:val="left"/>
      <w:lvlText w:val="(%1)"/>
      <w:numFmt w:val="lowerLetter"/>
      <w:start w:val="3"/>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lowerLetter"/>
      <w:start w:val="3"/>
    </w:lvl>
    <w:lvl w:ilvl="1">
      <w:lvlJc w:val="left"/>
      <w:lvlText w:val="(%2)"/>
      <w:numFmt w:val="lowerRoman"/>
      <w:start w:val="1"/>
    </w:lvl>
  </w:abstractNum>
  <w:abstractNum w:abstractNumId="99">
    <w:nsid w:val="5915FF32"/>
    <w:multiLevelType w:val="hybridMultilevel"/>
    <w:lvl w:ilvl="0">
      <w:lvlJc w:val="left"/>
      <w:lvlText w:val="%1"/>
      <w:numFmt w:val="lowerLetter"/>
      <w:start w:val="1"/>
    </w:lvl>
    <w:lvl w:ilvl="1">
      <w:lvlJc w:val="left"/>
      <w:lvlText w:val="(%2)"/>
      <w:numFmt w:val="lowerRoman"/>
      <w:start w:val="4"/>
    </w:lvl>
  </w:abstractNum>
  <w:abstractNum w:abstractNumId="100">
    <w:nsid w:val="56438D15"/>
    <w:multiLevelType w:val="hybridMultilevel"/>
    <w:lvl w:ilvl="0">
      <w:lvlJc w:val="left"/>
      <w:lvlText w:val="(%1)"/>
      <w:numFmt w:val="lowerLetter"/>
      <w:start w:val="5"/>
    </w:lvl>
    <w:lvl w:ilvl="1">
      <w:lvlJc w:val="left"/>
      <w:lvlText w:val="(%2)"/>
      <w:numFmt w:val="lowerRoman"/>
      <w:start w:val="1"/>
    </w:lvl>
  </w:abstractNum>
  <w:abstractNum w:abstractNumId="101">
    <w:nsid w:val="519E3149"/>
    <w:multiLevelType w:val="hybridMultilevel"/>
    <w:lvl w:ilvl="0">
      <w:lvlJc w:val="left"/>
      <w:lvlText w:val="%1."/>
      <w:numFmt w:val="decimal"/>
      <w:start w:val="11"/>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decimal"/>
      <w:start w:val="12"/>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1."/>
      <w:numFmt w:val="decimal"/>
      <w:start w:val="13"/>
    </w:lvl>
  </w:abstractNum>
  <w:abstractNum w:abstractNumId="106">
    <w:nsid w:val="5D888A08"/>
    <w:multiLevelType w:val="hybridMultilevel"/>
    <w:lvl w:ilvl="0">
      <w:lvlJc w:val="left"/>
      <w:lvlText w:val="(%1)"/>
      <w:numFmt w:val="lowerLetter"/>
      <w:start w:val="1"/>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1)"/>
      <w:numFmt w:val="lowerLetter"/>
      <w:start w:val="4"/>
    </w:lvl>
  </w:abstractNum>
  <w:abstractNum w:abstractNumId="110">
    <w:nsid w:val="75E0858A"/>
    <w:multiLevelType w:val="hybridMultilevel"/>
    <w:lvl w:ilvl="0">
      <w:lvlJc w:val="left"/>
      <w:lvlText w:val="(%1)"/>
      <w:numFmt w:val="lowerLetter"/>
      <w:start w:val="1"/>
    </w:lvl>
  </w:abstractNum>
  <w:abstractNum w:abstractNumId="111">
    <w:nsid w:val="57A61A29"/>
    <w:multiLevelType w:val="hybridMultilevel"/>
    <w:lvl w:ilvl="0">
      <w:lvlJc w:val="left"/>
      <w:lvlText w:val="%1"/>
      <w:numFmt w:val="lowerRoman"/>
      <w:start w:val="1"/>
    </w:lvl>
    <w:lvl w:ilvl="1">
      <w:lvlJc w:val="left"/>
      <w:lvlText w:val="(%2)"/>
      <w:numFmt w:val="lowerLetter"/>
      <w:start w:val="4"/>
    </w:lvl>
  </w:abstractNum>
  <w:abstractNum w:abstractNumId="112">
    <w:nsid w:val="5399C654"/>
    <w:multiLevelType w:val="hybridMultilevel"/>
    <w:lvl w:ilvl="0">
      <w:lvlJc w:val="left"/>
      <w:lvlText w:val="(%1)"/>
      <w:numFmt w:val="lowerRoman"/>
      <w:start w:val="1"/>
    </w:lvl>
    <w:lvl w:ilvl="1">
      <w:lvlJc w:val="left"/>
      <w:lvlText w:val="%2"/>
      <w:numFmt w:val="lowerLetter"/>
      <w:start w:val="1"/>
    </w:lvl>
  </w:abstractNum>
  <w:abstractNum w:abstractNumId="113">
    <w:nsid w:val="20EE1348"/>
    <w:multiLevelType w:val="hybridMultilevel"/>
    <w:lvl w:ilvl="0">
      <w:lvlJc w:val="left"/>
      <w:lvlText w:val="(%1)"/>
      <w:numFmt w:val="lowerLetter"/>
      <w:start w:val="3"/>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2"/>
    </w:lvl>
  </w:abstractNum>
  <w:abstractNum w:abstractNumId="116">
    <w:nsid w:val="2157F6BC"/>
    <w:multiLevelType w:val="hybridMultilevel"/>
    <w:lvl w:ilvl="0">
      <w:lvlJc w:val="left"/>
      <w:lvlText w:val="%1"/>
      <w:numFmt w:val="lowerRoman"/>
      <w:start w:val="1"/>
    </w:lvl>
    <w:lvl w:ilvl="1">
      <w:lvlJc w:val="left"/>
      <w:lvlText w:val="(%2)"/>
      <w:numFmt w:val="lowerLetter"/>
      <w:start w:val="4"/>
    </w:lvl>
  </w:abstractNum>
  <w:abstractNum w:abstractNumId="117">
    <w:nsid w:val="704E1DD5"/>
    <w:multiLevelType w:val="hybridMultilevel"/>
    <w:lvl w:ilvl="0">
      <w:lvlJc w:val="left"/>
      <w:lvlText w:val="(%1)"/>
      <w:numFmt w:val="lowerRoman"/>
      <w:start w:val="1"/>
    </w:lvl>
    <w:lvl w:ilvl="1">
      <w:lvlJc w:val="left"/>
      <w:lvlText w:val="%2"/>
      <w:numFmt w:val="lowerLetter"/>
      <w:start w:val="1"/>
    </w:lvl>
  </w:abstractNum>
  <w:abstractNum w:abstractNumId="118">
    <w:nsid w:val="57D2F10E"/>
    <w:multiLevelType w:val="hybridMultilevel"/>
    <w:lvl w:ilvl="0">
      <w:lvlJc w:val="left"/>
      <w:lvlText w:val="%1."/>
      <w:numFmt w:val="decimal"/>
      <w:start w:val="14"/>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1">
    <w:nsid w:val="2E48F04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122">
    <w:nsid w:val="49D0FE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3">
    <w:nsid w:val="4BEE5A5B"/>
    <w:multiLevelType w:val="hybridMultilevel"/>
    <w:lvl w:ilvl="0">
      <w:lvlJc w:val="left"/>
      <w:lvlText w:val="(%1)"/>
      <w:numFmt w:val="lowerRoman"/>
      <w:start w:val="2"/>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lowerLetter"/>
      <w:start w:val="1"/>
    </w:lvl>
  </w:abstractNum>
  <w:abstractNum w:abstractNumId="127">
    <w:nsid w:val="24E99DD7"/>
    <w:multiLevelType w:val="hybridMultilevel"/>
    <w:lvl w:ilvl="0">
      <w:lvlJc w:val="left"/>
      <w:lvlText w:val="%1."/>
      <w:numFmt w:val="decimal"/>
      <w:start w:val="15"/>
    </w:lvl>
    <w:lvl w:ilvl="1">
      <w:lvlJc w:val="left"/>
      <w:lvlText w:val="(%2)"/>
      <w:numFmt w:val="lowerLetter"/>
      <w:start w:val="1"/>
    </w:lvl>
  </w:abstractNum>
  <w:abstractNum w:abstractNumId="128">
    <w:nsid w:val="2A31B62D"/>
    <w:multiLevelType w:val="hybridMultilevel"/>
    <w:lvl w:ilvl="0">
      <w:lvlJc w:val="left"/>
      <w:lvlText w:val="(%1)"/>
      <w:numFmt w:val="lowerLetter"/>
      <w:start w:val="4"/>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lowerLetter"/>
      <w:start w:val="5"/>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Roman"/>
      <w:start w:val="1"/>
    </w:lvl>
  </w:abstractNum>
  <w:abstractNum w:abstractNumId="133">
    <w:nsid w:val="2A6DE806"/>
    <w:multiLevelType w:val="hybridMultilevel"/>
    <w:lvl w:ilvl="0">
      <w:lvlJc w:val="left"/>
      <w:lvlText w:val="%1."/>
      <w:numFmt w:val="decimal"/>
      <w:start w:val="16"/>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1"/>
    </w:lvl>
  </w:abstractNum>
  <w:abstractNum w:abstractNumId="136">
    <w:nsid w:val="7AB49DAF"/>
    <w:multiLevelType w:val="hybridMultilevel"/>
    <w:lvl w:ilvl="0">
      <w:lvlJc w:val="left"/>
      <w:lvlText w:val="%1."/>
      <w:numFmt w:val="decimal"/>
      <w:start w:val="17"/>
    </w:lvl>
  </w:abstractNum>
  <w:abstractNum w:abstractNumId="137">
    <w:nsid w:val="759F82CD"/>
    <w:multiLevelType w:val="hybridMultilevel"/>
    <w:lvl w:ilvl="0">
      <w:lvlJc w:val="left"/>
      <w:lvlText w:val="(%1)"/>
      <w:numFmt w:val="lowerLetter"/>
      <w:start w:val="5"/>
    </w:lvl>
  </w:abstractNum>
  <w:abstractNum w:abstractNumId="138">
    <w:nsid w:val="61E74EA3"/>
    <w:multiLevelType w:val="hybridMultilevel"/>
    <w:lvl w:ilvl="0">
      <w:lvlJc w:val="left"/>
      <w:lvlText w:val="(%1)"/>
      <w:numFmt w:val="lowerLetter"/>
      <w:start w:val="1"/>
    </w:lvl>
  </w:abstractNum>
  <w:abstractNum w:abstractNumId="139">
    <w:nsid w:val="597B4D84"/>
    <w:multiLevelType w:val="hybridMultilevel"/>
    <w:lvl w:ilvl="0">
      <w:lvlJc w:val="left"/>
      <w:lvlText w:val="(%1)"/>
      <w:numFmt w:val="lowerLetter"/>
      <w:start w:val="3"/>
    </w:lvl>
  </w:abstractNum>
  <w:abstractNum w:abstractNumId="140">
    <w:nsid w:val="F819E7F"/>
    <w:multiLevelType w:val="hybridMultilevel"/>
    <w:lvl w:ilvl="0">
      <w:lvlJc w:val="left"/>
      <w:lvlText w:val="(%1)"/>
      <w:numFmt w:val="lowerLetter"/>
      <w:start w:val="6"/>
    </w:lvl>
    <w:lvl w:ilvl="1">
      <w:lvlJc w:val="left"/>
      <w:lvlText w:val="(%2)"/>
      <w:numFmt w:val="lowerRoman"/>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3"/>
    </w:lvl>
  </w:abstractNum>
  <w:abstractNum w:abstractNumId="143">
    <w:nsid w:val="631B64D4"/>
    <w:multiLevelType w:val="hybridMultilevel"/>
    <w:lvl w:ilvl="0">
      <w:lvlJc w:val="left"/>
      <w:lvlText w:val="%1."/>
      <w:numFmt w:val="decimal"/>
      <w:start w:val="18"/>
    </w:lvl>
  </w:abstractNum>
  <w:abstractNum w:abstractNumId="144">
    <w:nsid w:val="78B5E776"/>
    <w:multiLevelType w:val="hybridMultilevel"/>
    <w:lvl w:ilvl="0">
      <w:lvlJc w:val="left"/>
      <w:lvlText w:val="(%1)"/>
      <w:numFmt w:val="lowerLetter"/>
      <w:start w:val="1"/>
    </w:lvl>
  </w:abstractNum>
  <w:abstractNum w:abstractNumId="145">
    <w:nsid w:val="75486E47"/>
    <w:multiLevelType w:val="hybridMultilevel"/>
    <w:lvl w:ilvl="0">
      <w:lvlJc w:val="left"/>
      <w:lvlText w:val="%1."/>
      <w:numFmt w:val="decimal"/>
      <w:start w:val="19"/>
    </w:lvl>
    <w:lvl w:ilvl="1">
      <w:lvlJc w:val="left"/>
      <w:lvlText w:val="(%2)"/>
      <w:numFmt w:val="lowerRoman"/>
    </w:lvl>
    <w:lvl w:ilvl="2">
      <w:lvlJc w:val="left"/>
      <w:lvlText w:val="(%3)"/>
      <w:numFmt w:val="lowerLetter"/>
      <w:start w:val="1"/>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2022-05-10T06:09:09Z</dcterms:created>
  <dcterms:modified xsi:type="dcterms:W3CDTF">2022-05-10T06:09:09Z</dcterms:modified>
</cp:coreProperties>
</file>